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Приложение № 1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УТВЕРЖДЕНО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приказом АО «ТВЭЛ»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left="6096" w:hanging="993"/>
        <w:jc w:val="both"/>
        <w:spacing w:after="0" w:line="240" w:lineRule="auto"/>
        <w:tabs>
          <w:tab w:val="left" w:pos="1620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caps/>
          <w:sz w:val="28"/>
          <w:szCs w:val="28"/>
        </w:rPr>
      </w:pPr>
      <w:r>
        <w:rPr>
          <w:rFonts w:ascii="Times New Roman" w:hAnsi="Times New Roman" w:eastAsia="Calibri" w:cs="Times New Roman"/>
          <w:caps/>
          <w:sz w:val="28"/>
          <w:szCs w:val="28"/>
        </w:rPr>
        <w:t xml:space="preserve">Положение</w:t>
      </w:r>
      <w:r>
        <w:rPr>
          <w:rFonts w:ascii="Times New Roman" w:hAnsi="Times New Roman" w:eastAsia="Calibri" w:cs="Times New Roman"/>
          <w:cap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проведении конкурса дизайнерских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проектов/ решений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ругой взгляд на красоту»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jc w:val="both"/>
        <w:spacing w:after="0" w:line="240" w:lineRule="auto"/>
        <w:rPr>
          <w:bCs/>
          <w:i/>
        </w:rPr>
      </w:pPr>
      <w:r>
        <w:rPr>
          <w:bCs/>
          <w:i/>
        </w:rPr>
      </w:r>
      <w:r>
        <w:rPr>
          <w:bCs/>
          <w:i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2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sdt>
      <w:sdtPr>
        <w15:appearance w15:val="boundingBox"/>
        <w:id w:val="269749064"/>
        <w:docPartObj>
          <w:docPartGallery w:val="Table of Contents"/>
          <w:docPartUnique w:val="true"/>
        </w:docPartObj>
        <w:rPr>
          <w:rFonts w:asciiTheme="minorHAnsi" w:hAnsiTheme="minorHAnsi" w:eastAsiaTheme="minorHAnsi" w:cstheme="minorBidi"/>
          <w:color w:val="auto"/>
          <w:sz w:val="22"/>
          <w:szCs w:val="22"/>
          <w:lang w:eastAsia="en-US"/>
        </w:rPr>
      </w:sdtPr>
      <w:sdtContent>
        <w:p>
          <w:pPr>
            <w:pStyle w:val="739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 xml:space="preserve">Содержание</w:t>
          </w:r>
          <w:r>
            <w:rPr>
              <w:rFonts w:ascii="Times New Roman" w:hAnsi="Times New Roman" w:cs="Times New Roman"/>
              <w:color w:val="auto"/>
              <w:sz w:val="28"/>
              <w:szCs w:val="28"/>
            </w:rPr>
          </w:r>
        </w:p>
        <w:p>
          <w:pPr>
            <w:pStyle w:val="740"/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tooltip="#_Toc176957902" w:anchor="_Toc176957902" w:history="1">
            <w:r>
              <w:rPr>
                <w:rStyle w:val="733"/>
              </w:rPr>
              <w:t xml:space="preserve">1. Назначение и область применения</w:t>
            </w:r>
            <w:r>
              <w:tab/>
            </w:r>
            <w:r>
              <w:fldChar w:fldCharType="begin"/>
            </w:r>
            <w:r>
              <w:instrText xml:space="preserve"> PAGEREF _Toc176957902 \h </w:instrText>
            </w:r>
            <w:r/>
            <w:r>
              <w:fldChar w:fldCharType="separate"/>
            </w:r>
            <w:r>
              <w:t xml:space="preserve">3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740"/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76957903" w:anchor="_Toc176957903" w:history="1">
            <w:r>
              <w:rPr>
                <w:rStyle w:val="733"/>
              </w:rPr>
              <w:t xml:space="preserve">2. Термины, сокращения и аббревиатуры</w:t>
            </w:r>
            <w:r>
              <w:tab/>
              <w:t xml:space="preserve">3</w:t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740"/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76957904" w:anchor="_Toc176957904" w:history="1">
            <w:r>
              <w:rPr>
                <w:rStyle w:val="733"/>
              </w:rPr>
              <w:t xml:space="preserve">3. Подача и прием заявок на участие в Конкурсе</w:t>
            </w:r>
            <w:r>
              <w:tab/>
              <w:t xml:space="preserve">4</w:t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740"/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76957905" w:anchor="_Toc176957905" w:history="1">
            <w:r>
              <w:rPr>
                <w:rStyle w:val="733"/>
              </w:rPr>
              <w:t xml:space="preserve">4. Условия проведения Конкурса</w:t>
            </w:r>
            <w:r>
              <w:tab/>
            </w:r>
            <w:r>
              <w:fldChar w:fldCharType="begin"/>
            </w:r>
            <w:r>
              <w:instrText xml:space="preserve"> PAGEREF _Toc176957905 \h </w:instrText>
            </w:r>
            <w:r/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740"/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76957906" w:anchor="_Toc176957906" w:history="1">
            <w:r>
              <w:rPr>
                <w:rStyle w:val="733"/>
              </w:rPr>
              <w:t xml:space="preserve">5. Награждение победителей</w:t>
            </w:r>
            <w:r>
              <w:tab/>
            </w:r>
            <w:r>
              <w:fldChar w:fldCharType="begin"/>
            </w:r>
            <w:r>
              <w:instrText xml:space="preserve"> PAGEREF _Toc176957906 \h </w:instrText>
            </w:r>
            <w:r/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740"/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76957907" w:anchor="_Toc176957907" w:history="1">
            <w:r>
              <w:rPr>
                <w:rStyle w:val="733"/>
              </w:rPr>
              <w:t xml:space="preserve">6. Сроки проведения</w:t>
            </w:r>
            <w:r>
              <w:tab/>
              <w:t xml:space="preserve">7</w:t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740"/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76957908" w:anchor="_Toc176957908" w:history="1">
            <w:r>
              <w:rPr>
                <w:rStyle w:val="733"/>
              </w:rPr>
              <w:t xml:space="preserve">7. Церемония награждения</w:t>
            </w:r>
            <w:r>
              <w:tab/>
              <w:t xml:space="preserve">7</w:t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740"/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76957909" w:anchor="_Toc176957909" w:history="1">
            <w:r>
              <w:rPr>
                <w:rStyle w:val="733"/>
              </w:rPr>
              <w:t xml:space="preserve">8. Особые условия</w:t>
            </w:r>
            <w:r>
              <w:tab/>
            </w:r>
            <w:r>
              <w:fldChar w:fldCharType="begin"/>
            </w:r>
            <w:r>
              <w:instrText xml:space="preserve"> PAGEREF _Toc176957909 \h </w:instrText>
            </w:r>
            <w:r/>
            <w:r>
              <w:fldChar w:fldCharType="separate"/>
            </w:r>
            <w:r>
              <w:t xml:space="preserve">8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r>
            <w:rPr>
              <w:b/>
              <w:bCs/>
            </w:rPr>
            <w:fldChar w:fldCharType="end"/>
          </w:r>
          <w:r/>
        </w:p>
      </w:sdtContent>
    </w:sdt>
    <w:p>
      <w:pPr>
        <w:pStyle w:val="72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72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706"/>
        <w:jc w:val="center"/>
        <w:rPr>
          <w:b w:val="0"/>
        </w:rPr>
      </w:pPr>
      <w:r/>
      <w:bookmarkStart w:id="0" w:name="_Toc176957902"/>
      <w:r>
        <w:rPr>
          <w:b w:val="0"/>
        </w:rPr>
        <w:t xml:space="preserve">1. </w:t>
      </w:r>
      <w:r>
        <w:rPr>
          <w:b w:val="0"/>
        </w:rPr>
        <w:t xml:space="preserve">Назначение и область применения</w:t>
      </w:r>
      <w:bookmarkEnd w:id="0"/>
      <w:r/>
      <w:r>
        <w:rPr>
          <w:b w:val="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1.1.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Настоящее П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оложение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о проведении конкурса дизайнерских проектов/решений «Другой взгляд на красоту»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(далее – Положение) разработано для установления порядка проведения конкурса дизайнерских проектов/решений «Другой взгляд на красоту» (далее – Конкурс), приуроченного к 80-летию атомной отрасли России.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1.2.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В системе регламентирующих документов АО «ТВЭЛ» (далее – Топливной компании) настоящее Положение входит в состав группы процессов «Управление массовыми и внутренними коммуникациями».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1.3.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Ответственным за актуализацию Положения и контроль его исполнения в соответствии с требованиями Положения о регламентации деятельности Топливной компании является директор Департамента коммуникаций.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1.4.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Конкурс направлен на: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Theme="minorEastAsia"/>
          <w:bCs/>
          <w:sz w:val="28"/>
          <w:szCs w:val="28"/>
        </w:rPr>
      </w:pPr>
      <w:r>
        <w:rPr>
          <w:rFonts w:ascii="Times New Roman" w:hAnsi="Times New Roman" w:cs="Times New Roman" w:eastAsiaTheme="minorEastAsia"/>
          <w:bCs/>
          <w:sz w:val="28"/>
          <w:szCs w:val="28"/>
        </w:rPr>
        <w:t xml:space="preserve">повышение привлекательности Госкорпорации «Росатом» через креативные дизайнерские решения,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позиционирование Госкорпорации Росатома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мировом атомном сообществе как высокотехнологичной корпорации, ориентированной на современный тренд синтеза функциональности и внешней эстетики;</w:t>
      </w:r>
      <w:r>
        <w:rPr>
          <w:rFonts w:ascii="Times New Roman" w:hAnsi="Times New Roman" w:cs="Times New Roman" w:eastAsiaTheme="minorEastAsia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Theme="minorEastAsia"/>
          <w:bCs/>
          <w:sz w:val="28"/>
          <w:szCs w:val="28"/>
        </w:rPr>
      </w:pPr>
      <w:r>
        <w:rPr>
          <w:rFonts w:ascii="Times New Roman" w:hAnsi="Times New Roman" w:cs="Times New Roman" w:eastAsiaTheme="minorEastAsia"/>
          <w:bCs/>
          <w:sz w:val="28"/>
          <w:szCs w:val="28"/>
        </w:rPr>
        <w:t xml:space="preserve">повышение привлекательности бренда Госкорпорации «Росатом», привлечение через «эмоциональный дизайн» (положительный эмоци</w:t>
      </w:r>
      <w:r>
        <w:rPr>
          <w:rFonts w:ascii="Times New Roman" w:hAnsi="Times New Roman" w:cs="Times New Roman" w:eastAsiaTheme="minorEastAsia"/>
          <w:bCs/>
          <w:sz w:val="28"/>
          <w:szCs w:val="28"/>
        </w:rPr>
        <w:t xml:space="preserve">ональный отклик) студентов архитектурно-строительных вузов</w:t>
      </w:r>
      <w:r>
        <w:rPr>
          <w:rFonts w:ascii="Times New Roman" w:hAnsi="Times New Roman" w:cs="Times New Roman" w:eastAsiaTheme="minorEastAsia"/>
          <w:bCs/>
          <w:sz w:val="28"/>
          <w:szCs w:val="28"/>
        </w:rPr>
        <w:t xml:space="preserve"> в организации Госкорпорации «Росатом» с целью трудоустройства;</w:t>
      </w:r>
      <w:r>
        <w:rPr>
          <w:rFonts w:ascii="Times New Roman" w:hAnsi="Times New Roman" w:cs="Times New Roman" w:eastAsiaTheme="minorEastAsia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создание новых креативных дизайнерских проектов/ решений для эстетического преображения промышленных объектов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Госкорпорации «Росатом»;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продвижение в организациях Госкорпорации «Росатом» принципов технической/ промышленной эстетики</w:t>
      </w:r>
      <w:r>
        <w:rPr>
          <w:rFonts w:ascii="Times New Roman" w:hAnsi="Times New Roman" w:cs="Times New Roman" w:eastAsiaTheme="minorEastAsia"/>
          <w:bCs/>
          <w:sz w:val="28"/>
          <w:szCs w:val="28"/>
        </w:rPr>
        <w:t xml:space="preserve">;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Theme="minorEastAsia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  <w:lang w:eastAsia="ru-RU"/>
        </w:rPr>
        <w:t xml:space="preserve">создание дополнительных возможностей для самореализации и развития творческого потенциала студентов </w:t>
      </w:r>
      <w:r>
        <w:rPr>
          <w:rFonts w:ascii="Times New Roman" w:hAnsi="Times New Roman" w:cs="Times New Roman" w:eastAsiaTheme="minorEastAsia"/>
          <w:bCs/>
          <w:sz w:val="28"/>
          <w:szCs w:val="28"/>
        </w:rPr>
        <w:t xml:space="preserve">архитектурно-строительных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  <w:lang w:eastAsia="ru-RU"/>
        </w:rPr>
        <w:t xml:space="preserve">вузов;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знакомство с лучшими зарубежными и отечественными практиками промышленного дизайна на объектах атомной отрасли, в том числе стандартами организации (СТО), включающими единые требования поддержания технич</w:t>
      </w:r>
      <w:r>
        <w:rPr>
          <w:rFonts w:ascii="Times New Roman" w:hAnsi="Times New Roman" w:eastAsia="Calibri" w:cs="Times New Roman"/>
          <w:sz w:val="28"/>
          <w:szCs w:val="28"/>
        </w:rPr>
        <w:t xml:space="preserve">еского и эстетического состояний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производственных зданий и сооружений.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1.5.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Проведение Конкурса осуществляет Департамент коммуникаций </w:t>
      </w:r>
      <w:r>
        <w:rPr>
          <w:rFonts w:ascii="Times New Roman" w:hAnsi="Times New Roman" w:eastAsia="Calibri" w:cs="Times New Roman"/>
          <w:sz w:val="28"/>
          <w:szCs w:val="28"/>
        </w:rPr>
        <w:br/>
      </w:r>
      <w:r>
        <w:rPr>
          <w:rFonts w:ascii="Times New Roman" w:hAnsi="Times New Roman" w:eastAsia="Calibri" w:cs="Times New Roman"/>
          <w:sz w:val="28"/>
          <w:szCs w:val="28"/>
        </w:rPr>
        <w:t xml:space="preserve">(далее – Организатор).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1.6.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Конкурс проводится в 4 этапа.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1.7.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Определять критерии и проводить оценку конкурсных работ, а также принимать решение о выборе победителей Конкурса в соответствии с требованиями уполномочено жюри Конкурса.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06"/>
        <w:jc w:val="center"/>
        <w:rPr>
          <w:b w:val="0"/>
          <w:sz w:val="28"/>
          <w:szCs w:val="28"/>
        </w:rPr>
      </w:pPr>
      <w:r/>
      <w:bookmarkStart w:id="1" w:name="_Toc176957903"/>
      <w:r>
        <w:rPr>
          <w:b w:val="0"/>
          <w:sz w:val="28"/>
          <w:szCs w:val="28"/>
        </w:rPr>
        <w:t xml:space="preserve">2.</w:t>
      </w:r>
      <w:r>
        <w:rPr>
          <w:b w:val="0"/>
          <w:sz w:val="28"/>
          <w:szCs w:val="28"/>
        </w:rPr>
        <w:t xml:space="preserve"> </w:t>
      </w:r>
      <w:r>
        <w:rPr>
          <w:b w:val="0"/>
          <w:sz w:val="28"/>
          <w:szCs w:val="28"/>
        </w:rPr>
        <w:t xml:space="preserve">Т</w:t>
      </w:r>
      <w:r>
        <w:rPr>
          <w:b w:val="0"/>
          <w:sz w:val="28"/>
          <w:szCs w:val="28"/>
        </w:rPr>
        <w:t xml:space="preserve">ермины</w:t>
      </w:r>
      <w:r>
        <w:rPr>
          <w:b w:val="0"/>
          <w:sz w:val="28"/>
          <w:szCs w:val="28"/>
        </w:rPr>
        <w:t xml:space="preserve"> и</w:t>
      </w:r>
      <w:r>
        <w:rPr>
          <w:b w:val="0"/>
          <w:sz w:val="28"/>
          <w:szCs w:val="28"/>
        </w:rPr>
        <w:t xml:space="preserve"> сокращения</w:t>
      </w:r>
      <w:bookmarkEnd w:id="1"/>
      <w:r/>
      <w:r>
        <w:rPr>
          <w:b w:val="0"/>
          <w:sz w:val="28"/>
          <w:szCs w:val="28"/>
        </w:rPr>
      </w:r>
    </w:p>
    <w:tbl>
      <w:tblPr>
        <w:tblStyle w:val="747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6796"/>
      </w:tblGrid>
      <w:tr>
        <w:tblPrEx/>
        <w:trPr>
          <w:trHeight w:val="537"/>
        </w:trPr>
        <w:tc>
          <w:tcPr>
            <w:tcW w:w="3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Сокращение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W w:w="6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Расшифровка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Атомный город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W w:w="67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Город территории присутствия Госкорпорации «Росатом»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Брендбук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W w:w="67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Фирменный стиль (логотип) Госкорпорации «Росатом», размещенный на официальном сайте Госкорпорации «Росатом»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ВУЗ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W w:w="67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Высшее учебное заведение архитектурно-строительного направления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Конкурс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W w:w="67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Конкурс дизайнерских проектов/ решений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«Другой взгляд на красоту» среди команд студентов архитектурно-строительных вузов, приуроченный к 80-летию атомной отрасли России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Конкурсная работа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W w:w="67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Дизайнерский проект/ решение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Организатор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W w:w="67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Департамент коммуникаций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ПАТЭС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W w:w="67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Плавучая атомная теплоэлектростанция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Победители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W w:w="67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Команды-финалисты Конкурса, занявшие 1, 2 или 3-е мест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Рестайлинг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W w:w="67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Обновление дизайна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Руководство вуза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W w:w="67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Ректор/проректор/директор института/заместитель директора/декан факультета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Участник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W w:w="67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Команды студентов архитектурно-строительных вузов, подавшие заявку на участие в Конкурсе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706"/>
        <w:jc w:val="center"/>
        <w:rPr>
          <w:b w:val="0"/>
          <w:sz w:val="28"/>
          <w:szCs w:val="28"/>
        </w:rPr>
      </w:pPr>
      <w:r/>
      <w:bookmarkStart w:id="2" w:name="_Toc176957904"/>
      <w:r>
        <w:rPr>
          <w:b w:val="0"/>
          <w:sz w:val="28"/>
          <w:szCs w:val="28"/>
        </w:rPr>
        <w:t xml:space="preserve">3.</w:t>
      </w:r>
      <w:r>
        <w:rPr>
          <w:b w:val="0"/>
          <w:sz w:val="28"/>
          <w:szCs w:val="28"/>
        </w:rPr>
        <w:t xml:space="preserve"> </w:t>
      </w:r>
      <w:r>
        <w:rPr>
          <w:b w:val="0"/>
          <w:sz w:val="28"/>
          <w:szCs w:val="28"/>
        </w:rPr>
        <w:t xml:space="preserve">Подача и прием заявок на участие в Конкурсе</w:t>
      </w:r>
      <w:bookmarkEnd w:id="2"/>
      <w:r/>
      <w:r>
        <w:rPr>
          <w:b w:val="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3.1.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Участниками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Конкурса могут быть студенты (любого курса) архитектурно-строительных вузов, объединившиеся в проектные 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  <w:t xml:space="preserve">команды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(от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двух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до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пяти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человек). Число команд от одного вуза не ограничено.</w:t>
      </w:r>
      <w:r>
        <w:rPr>
          <w:rFonts w:ascii="Times New Roman" w:hAnsi="Times New Roman" w:cs="Times New Roman" w:eastAsiaTheme="minorEastAsia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3.2.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Организатор Конкурса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осуществляет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анонсирование Конкурса </w:t>
      </w:r>
      <w:r>
        <w:rPr>
          <w:rFonts w:ascii="Times New Roman" w:hAnsi="Times New Roman" w:cs="Times New Roman" w:eastAsiaTheme="minorEastAsia"/>
          <w:sz w:val="28"/>
          <w:szCs w:val="28"/>
        </w:rPr>
        <w:br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АО «ТВЭЛ», архитектурно-строительным вузам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путем направления информационных писем в учреждения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с приложением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данного Положения и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действующего брендбука Госкорпорации «Роса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том» с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20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сентября 2024 г. до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18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октября 2024 г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.</w:t>
      </w:r>
      <w:r>
        <w:rPr>
          <w:rFonts w:ascii="Times New Roman" w:hAnsi="Times New Roman" w:cs="Times New Roman" w:eastAsiaTheme="minorEastAsia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3.3.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Участие в Конкурсе инициируется участниками (самовыдвижение) или руководством вуза, с согласия участников, путем подачи заявки участниками по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прилагаемой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форме (приложение к Положению).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3.4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Для участия в Конкурсе необходимо заполнить бланк заявки на участие (приложение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 Положению) и направить до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0</w:t>
      </w: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ноября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2024 г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(включительно)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электронную почту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design</w:t>
      </w:r>
      <w:r>
        <w:rPr>
          <w:rFonts w:ascii="Times New Roman" w:hAnsi="Times New Roman" w:eastAsia="Calibri" w:cs="Times New Roman"/>
          <w:sz w:val="28"/>
          <w:szCs w:val="28"/>
        </w:rPr>
        <w:t xml:space="preserve">@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tvel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Calibri" w:cs="Times New Roman"/>
          <w:sz w:val="28"/>
          <w:szCs w:val="28"/>
        </w:rPr>
        <w:t xml:space="preserve"> либо на https://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landing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tvel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Calibri" w:cs="Times New Roman"/>
          <w:sz w:val="28"/>
          <w:szCs w:val="28"/>
        </w:rPr>
        <w:t xml:space="preserve">/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design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3.5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Участникам Конкурса, направившим заявку на указанную электронную почту, будет выслано подтверждение о получении и включении заявителя в конкурсный отбор.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3.6</w:t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Участники Конкурса могут выбрать несколько направлений конкурсных работ. На каждое направление оформляется отдельная заявка. 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3.7</w:t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Подача заявки путем отправки заполненной формы (приложение к Положению) на участие в Конкурсе означает согласие авторов с условиями Конкурса, изложенными в настоящем Положении.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3.8</w:t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Организаторы Конкурса имеют право не допускать на Конкурс заявку, не соответствующую порядку и условиям Конкурса.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06"/>
        <w:jc w:val="center"/>
        <w:rPr>
          <w:rFonts w:eastAsia="Calibri"/>
          <w:b w:val="0"/>
          <w:sz w:val="28"/>
          <w:szCs w:val="28"/>
        </w:rPr>
      </w:pPr>
      <w:r/>
      <w:bookmarkStart w:id="3" w:name="_Toc176957905"/>
      <w:r>
        <w:rPr>
          <w:rFonts w:eastAsia="Calibri"/>
          <w:b w:val="0"/>
          <w:sz w:val="28"/>
          <w:szCs w:val="28"/>
        </w:rPr>
        <w:t xml:space="preserve">4.</w:t>
      </w:r>
      <w:r>
        <w:rPr>
          <w:rFonts w:eastAsia="Calibri"/>
          <w:b w:val="0"/>
          <w:sz w:val="28"/>
          <w:szCs w:val="28"/>
        </w:rPr>
        <w:t xml:space="preserve"> </w:t>
      </w:r>
      <w:r>
        <w:rPr>
          <w:rFonts w:eastAsia="Calibri"/>
          <w:b w:val="0"/>
          <w:sz w:val="28"/>
          <w:szCs w:val="28"/>
        </w:rPr>
        <w:t xml:space="preserve">Условия</w:t>
      </w:r>
      <w:r>
        <w:rPr>
          <w:rFonts w:eastAsia="Calibri"/>
          <w:b w:val="0"/>
          <w:sz w:val="28"/>
          <w:szCs w:val="28"/>
        </w:rPr>
        <w:t xml:space="preserve"> </w:t>
      </w:r>
      <w:r>
        <w:rPr>
          <w:rFonts w:eastAsia="Calibri"/>
          <w:b w:val="0"/>
          <w:sz w:val="28"/>
          <w:szCs w:val="28"/>
        </w:rPr>
        <w:t xml:space="preserve">проведения</w:t>
      </w:r>
      <w:r>
        <w:rPr>
          <w:rFonts w:eastAsia="Calibri"/>
          <w:b w:val="0"/>
          <w:sz w:val="28"/>
          <w:szCs w:val="28"/>
        </w:rPr>
        <w:t xml:space="preserve"> Конкурса</w:t>
      </w:r>
      <w:bookmarkEnd w:id="3"/>
      <w:r/>
      <w:r>
        <w:rPr>
          <w:rFonts w:eastAsia="Calibri"/>
          <w:b w:val="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4.1.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Конкурс состоит из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4 (четырёх) этапов: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первый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этап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– приём заявок на участие в Конкурсе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второй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этап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– создание и направление конкурсных работ (дизайнерских проектов/ решений), включающий (на выбор):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мастер-классы для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проектных команд</w:t>
      </w:r>
      <w:r>
        <w:rPr>
          <w:rFonts w:ascii="Times New Roman" w:hAnsi="Times New Roman" w:eastAsia="Calibri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 российской дизайнерской компании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 счет организаторов Конкурса;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онкурсную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работу (дизайнерский проект/ решение) необходимо направить на электронную почту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  <w:t xml:space="preserve">design</w:t>
      </w:r>
      <w:bookmarkStart w:id="4" w:name="_GoBack"/>
      <w:r/>
      <w:bookmarkEnd w:id="4"/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@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  <w:t xml:space="preserve">tvel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либо на </w:t>
      </w:r>
      <w:hyperlink r:id="rId12" w:tooltip="https://landing.tvel.ru/design" w:history="1">
        <w:r>
          <w:rPr>
            <w:rFonts w:ascii="Times New Roman" w:hAnsi="Times New Roman" w:eastAsia="Calibri" w:cs="Times New Roman"/>
            <w:color w:val="0000ff" w:themeColor="hyperlink"/>
            <w:sz w:val="28"/>
            <w:szCs w:val="28"/>
            <w:u w:val="single"/>
          </w:rPr>
          <w:t xml:space="preserve">https://</w:t>
        </w:r>
        <w:r>
          <w:rPr>
            <w:rFonts w:ascii="Times New Roman" w:hAnsi="Times New Roman" w:eastAsia="Calibri" w:cs="Times New Roman"/>
            <w:color w:val="0000ff" w:themeColor="hyperlink"/>
            <w:sz w:val="28"/>
            <w:szCs w:val="28"/>
            <w:u w:val="single"/>
            <w:lang w:val="en-US"/>
          </w:rPr>
          <w:t xml:space="preserve">landing</w:t>
        </w:r>
        <w:r>
          <w:rPr>
            <w:rFonts w:ascii="Times New Roman" w:hAnsi="Times New Roman" w:eastAsia="Calibri" w:cs="Times New Roman"/>
            <w:color w:val="0000ff" w:themeColor="hyperlink"/>
            <w:sz w:val="28"/>
            <w:szCs w:val="28"/>
            <w:u w:val="single"/>
          </w:rPr>
          <w:t xml:space="preserve">.</w:t>
        </w:r>
        <w:r>
          <w:rPr>
            <w:rFonts w:ascii="Times New Roman" w:hAnsi="Times New Roman" w:eastAsia="Calibri" w:cs="Times New Roman"/>
            <w:color w:val="0000ff" w:themeColor="hyperlink"/>
            <w:sz w:val="28"/>
            <w:szCs w:val="28"/>
            <w:u w:val="single"/>
            <w:lang w:val="en-US"/>
          </w:rPr>
          <w:t xml:space="preserve">tvel</w:t>
        </w:r>
        <w:r>
          <w:rPr>
            <w:rFonts w:ascii="Times New Roman" w:hAnsi="Times New Roman" w:eastAsia="Calibri" w:cs="Times New Roman"/>
            <w:color w:val="0000ff" w:themeColor="hyperlink"/>
            <w:sz w:val="28"/>
            <w:szCs w:val="28"/>
            <w:u w:val="single"/>
          </w:rPr>
          <w:t xml:space="preserve">.</w:t>
        </w:r>
        <w:r>
          <w:rPr>
            <w:rFonts w:ascii="Times New Roman" w:hAnsi="Times New Roman" w:eastAsia="Calibri" w:cs="Times New Roman"/>
            <w:color w:val="0000ff" w:themeColor="hyperlink"/>
            <w:sz w:val="28"/>
            <w:szCs w:val="28"/>
            <w:u w:val="single"/>
            <w:lang w:val="en-US"/>
          </w:rPr>
          <w:t xml:space="preserve">ru</w:t>
        </w:r>
        <w:r>
          <w:rPr>
            <w:rFonts w:ascii="Times New Roman" w:hAnsi="Times New Roman" w:eastAsia="Calibri" w:cs="Times New Roman"/>
            <w:color w:val="0000ff" w:themeColor="hyperlink"/>
            <w:sz w:val="28"/>
            <w:szCs w:val="28"/>
            <w:u w:val="single"/>
          </w:rPr>
          <w:t xml:space="preserve">/</w:t>
        </w:r>
        <w:r>
          <w:rPr>
            <w:rFonts w:ascii="Times New Roman" w:hAnsi="Times New Roman" w:eastAsia="Calibri" w:cs="Times New Roman"/>
            <w:color w:val="0000ff" w:themeColor="hyperlink"/>
            <w:sz w:val="28"/>
            <w:szCs w:val="28"/>
            <w:u w:val="single"/>
            <w:lang w:val="en-US"/>
          </w:rPr>
          <w:t xml:space="preserve">design</w:t>
        </w:r>
      </w:hyperlink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в соответствии с требованиями, указанными в приложении №3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третий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этап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– оценка конкурсных работ жюри Конкурса, определение победителей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четвертый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этап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– подведение итогов Конкурса, торжественная церемония награждения победителей.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Сроки реализации этапов установлены в приложении №2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4.2.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Направления (темы)</w:t>
      </w:r>
      <w:r>
        <w:rPr>
          <w:rFonts w:ascii="Times New Roman" w:hAnsi="Times New Roman" w:eastAsia="Times New Roman" w:cs="Times New Roman"/>
          <w:bCs/>
          <w:color w:val="ff0000"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конкурсных работ: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– «Рестайлинг экстерьера объектов АЭС»:</w:t>
      </w: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разработка </w:t>
      </w: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концепции и архитектурного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 проекта «эмоционального дизайна» крупных объектов атомных электростанций (например, внешней части градирен) с отражением передовых технологий и безопасности АЭС и в соответствии с действующим бре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ндбуком Госкорпорации «Росатом»;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– «Рестайлинг экстерьера атомного ледокола»: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разработка </w:t>
      </w: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концепции и архитектурного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 проекта «эмоционального дизайна» крупных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 частей атомного ледокола (например, носовой части корпуса или борта плавучей атомной электростанции) с отражением передовых технологий и безопасности атомного ледокольного флота и в соответствии с действующим отраслевым брендбуком Госкорпорации «Росатом»;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– «Рестайлинг экстерьера ПАТЭС»: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разработка </w:t>
      </w: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концепции и архитектурного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 проекта «эмоционального дизайна» носовой части корпуса или борта плавучей атомной электростанции с отражением передовых технологий и безопасности ПАТЭС и в соответствии с действующим отраслевым брендбуком Госкорпорации «Росатом»;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– «Рестайлинг экстерьера промышленного здания/цеха»: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разработка </w:t>
      </w: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концепции и архитектурного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 проекта «эмоционального дизайна» промышленного объекта атомной отрасли (здание/цех, расположенный на промышленной площадке одной из ор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ганизаций Госкорпорации «Росатом» с отражением передовых технологий и безопасности и в соответствии с действующим отраслевым брендбуком Госкорпорации «Росатом»;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– «Рестайлинг интерьера «точек входа»:</w:t>
      </w: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разработка </w:t>
      </w: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концепции и архитектурного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 проекта «эмоционального </w:t>
      </w: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интерьера» входных групп (вестибюли, холлы) в организациях Госкорпорации «Росатом» 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с отражением передовых технологий и безопасности в соответствии с действующим отраслевым брендбуком Госкорпорации «Росатом».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– «Рестайлинг атомных городов»:</w:t>
      </w: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разработка </w:t>
      </w: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концепции и архитектурного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 облика городов территории присутствия Госкорпорации «Росатом» либо их части с целью формирования привлекательного «образа будущего» территорий прис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утствия Госкорпорации «Росатом».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4.3.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Требования к конкурсным</w:t>
      </w:r>
      <w:r>
        <w:rPr>
          <w:rFonts w:ascii="Times New Roman" w:hAnsi="Times New Roman" w:eastAsia="Calibri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работам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указаны в приложении №3.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4.4.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Представленные на Конкурс работы не редактируются, не рецензируются и не возвращаются участникам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на основании согласия в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з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аявке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на участие в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онкурсе (приложение к Положению).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Организаторы Конкурса имеют право не допускать на Конкурс работу, не соответствующую порядку и условиям Конкурса.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4.5.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Оценка осуществляется на основе экспертных оценок, которые выставляются членами жюри Конкурса по результатам соответствия конкурсных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материалов требованиям к конкурсным работам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, указанных в приложении №3.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4.6.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Оценки выставляются по пятибалльной шкале от 0 до 5 баллов, где 5 – полное соответствие критерию, 0 – отсутствие соответствия критерию в презентуемом решении.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4.7.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Итоговая оценка по каждой из номинации определяется как сумма баллов, выставленных членами жюри Конкурса в оценочном листе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и/или их среднее значение путем деления суммы оценок на количество членов жюри. Итоговая оценка выставляется жюри Конкурса в итоговом протоколе, который оформляется секретарем, подписывается всеми членами жюри Конкурса и председателем.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4.8.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состав жюри Конкурса могут входить как работники АО «ТВЭЛ», так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работники сторонних организаций (по согласованию).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4.8.1. Состав жюри Конкурса утверждается приказом президента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АО «ТВЭЛ» в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квартале 2025 г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4.8.2. Жюри Конкурса состоит из председателя, членов и секретаря. Председатель и члены жюри Конкурса при прин</w:t>
      </w:r>
      <w:r>
        <w:rPr>
          <w:rFonts w:ascii="Times New Roman" w:hAnsi="Times New Roman" w:eastAsia="Calibri" w:cs="Times New Roman"/>
          <w:sz w:val="28"/>
          <w:szCs w:val="28"/>
        </w:rPr>
        <w:t xml:space="preserve">ятии решений имеют право голоса, секретарь право голоса не имеет.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4.8.3.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Решение жюри Конкурса по определению победителей Конкурса оформляется итоговым протоколом.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4.8.4. Деятельность жюри Конкурса основывается на принципах независимости, добросовестности, непредвзятости, профессионализма и компетентности.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4.9.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Победители определяются на очном заседании жюри Конкурса по максимальному количеству баллов. При равном количестве баллов победитель определяется членами жюри Конкурса в ходе голосования большинством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голосов; при равенстве голосов решающим является голос председателя жюри Конкурса.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Style w:val="706"/>
        <w:jc w:val="center"/>
        <w:rPr>
          <w:b w:val="0"/>
          <w:sz w:val="28"/>
          <w:szCs w:val="28"/>
        </w:rPr>
      </w:pPr>
      <w:r/>
      <w:bookmarkStart w:id="5" w:name="_Toc176957906"/>
      <w:r>
        <w:rPr>
          <w:b w:val="0"/>
          <w:sz w:val="28"/>
          <w:szCs w:val="28"/>
        </w:rPr>
        <w:t xml:space="preserve">5.</w:t>
      </w:r>
      <w:r>
        <w:rPr>
          <w:b w:val="0"/>
          <w:sz w:val="28"/>
          <w:szCs w:val="28"/>
        </w:rPr>
        <w:t xml:space="preserve"> </w:t>
      </w:r>
      <w:r>
        <w:rPr>
          <w:b w:val="0"/>
          <w:sz w:val="28"/>
          <w:szCs w:val="28"/>
        </w:rPr>
        <w:t xml:space="preserve">Награждение победителей</w:t>
      </w:r>
      <w:bookmarkEnd w:id="5"/>
      <w:r/>
      <w:r>
        <w:rPr>
          <w:b w:val="0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5.1.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Жюри Конкурса устанавливает не более трех команд-победителей.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5.2. Условиями проведения Конкурса предусматривается денежное поощрение* команде в следующих размерах: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-ое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место – 170 тысяч рублей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</w:t>
      </w:r>
      <w:r>
        <w:rPr>
          <w:rFonts w:ascii="Times New Roman" w:hAnsi="Times New Roman" w:eastAsia="Calibri" w:cs="Times New Roman"/>
          <w:sz w:val="28"/>
          <w:szCs w:val="28"/>
        </w:rPr>
        <w:t xml:space="preserve">-ое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место – 120 тысяч рублей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</w:rPr>
        <w:t xml:space="preserve">-е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место – 100 000 рублей.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т выплачиваемой суммы вознаграждения удерживается налог на доходы физических лиц в соответствии с Налоговым кодексом Российской Федерации.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5.3.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sz w:val="28"/>
          <w:szCs w:val="28"/>
        </w:rPr>
        <w:t xml:space="preserve">Финансирование Конкурса осуществляется за счет бюджета АО «ТВЭЛ».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5.4.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Выплата вознаграждений победителям Конкурса осуществляется за счет средств АО «ТВЭЛ» из бюджета Организатора.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5.5.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Сбором данных для удержания подоходного налога и предоставлением их в Департамент бухгал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терского учета и отчетности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АО «ТВЭЛ» занимается Организатор.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5.6.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Пофамильный список, а также размер денежного поощрения фиксируется Организатором в приказе о награждении победителей Конкурса на основании итогового протокола жюри Конкурса, поощрение делится поровну соразмерно количеству участников команды.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5.7.</w:t>
      </w:r>
      <w:r>
        <w:rPr>
          <w:rFonts w:ascii="Times New Roman" w:hAnsi="Times New Roman" w:eastAsia="Calibri" w:cs="Times New Roman"/>
          <w:sz w:val="28"/>
          <w:szCs w:val="28"/>
        </w:rPr>
        <w:tab/>
        <w:t xml:space="preserve">Организатор в течение 30 календарных дней с даты подписания итогового протокола Конкурса определяет порядок и сроки выплат денежного поощрения.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5.8. Все победители Конкурса становятся героями подкаста в тг-канале «ТВЭЛ в эфире», и получают рекомендательные письма от Организатора в персональное портфолио.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5.9.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Все члены команд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К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онкурса получают сертификаты об участии. 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5.10. Все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работы команд-участников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онкурса станут экспонатами выставки «Другой взгляд на красоту».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5.11.</w:t>
      </w:r>
      <w:r>
        <w:rPr>
          <w:rFonts w:ascii="Times New Roman" w:hAnsi="Times New Roman" w:eastAsia="Calibri" w:cs="Times New Roman"/>
          <w:sz w:val="28"/>
          <w:szCs w:val="28"/>
        </w:rPr>
        <w:tab/>
        <w:t xml:space="preserve"> Жюри Конкурса оставляет за собой право не присуждать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призовое место при отсутствии работ, отвечающих критериям данного призового места.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06"/>
        <w:jc w:val="center"/>
        <w:rPr>
          <w:b w:val="0"/>
          <w:sz w:val="28"/>
          <w:szCs w:val="28"/>
        </w:rPr>
      </w:pPr>
      <w:r/>
      <w:bookmarkStart w:id="6" w:name="_Toc176957907"/>
      <w:r>
        <w:rPr>
          <w:b w:val="0"/>
          <w:sz w:val="28"/>
          <w:szCs w:val="28"/>
        </w:rPr>
        <w:t xml:space="preserve">6</w:t>
      </w:r>
      <w:r>
        <w:rPr>
          <w:b w:val="0"/>
          <w:sz w:val="28"/>
          <w:szCs w:val="28"/>
        </w:rPr>
        <w:t xml:space="preserve">.</w:t>
      </w:r>
      <w:r>
        <w:rPr>
          <w:b w:val="0"/>
          <w:sz w:val="28"/>
          <w:szCs w:val="28"/>
        </w:rPr>
        <w:t xml:space="preserve"> </w:t>
      </w:r>
      <w:r>
        <w:rPr>
          <w:b w:val="0"/>
          <w:sz w:val="28"/>
          <w:szCs w:val="28"/>
        </w:rPr>
        <w:t xml:space="preserve">Сроки проведения</w:t>
      </w:r>
      <w:bookmarkEnd w:id="6"/>
      <w:r/>
      <w:r>
        <w:rPr>
          <w:b w:val="0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проведения Конкурса указаны в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риложении №2.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Times New Roman" w:cs="Times New Roman"/>
          <w:color w:val="0000ff" w:themeColor="hyperlink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6.2. Информация о сроках проведения Конкурса, порядке и форме подачи заявок, церемонии награждения и т.п. публикуется на сайте </w:t>
      </w:r>
      <w:hyperlink r:id="rId13" w:tooltip="https://landing.tvel.ru/design" w:history="1">
        <w:r>
          <w:rPr>
            <w:rFonts w:ascii="Times New Roman" w:hAnsi="Times New Roman" w:eastAsia="Times New Roman" w:cs="Times New Roman"/>
            <w:color w:val="0000ff" w:themeColor="hyperlink"/>
            <w:sz w:val="28"/>
            <w:szCs w:val="28"/>
            <w:u w:val="single"/>
            <w:lang w:eastAsia="ru-RU"/>
          </w:rPr>
          <w:t xml:space="preserve">https://</w:t>
        </w:r>
        <w:r>
          <w:rPr>
            <w:rFonts w:ascii="Times New Roman" w:hAnsi="Times New Roman" w:eastAsia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 xml:space="preserve">landing</w:t>
        </w:r>
        <w:r>
          <w:rPr>
            <w:rFonts w:ascii="Times New Roman" w:hAnsi="Times New Roman" w:eastAsia="Times New Roman" w:cs="Times New Roman"/>
            <w:color w:val="0000ff" w:themeColor="hyperlink"/>
            <w:sz w:val="28"/>
            <w:szCs w:val="28"/>
            <w:u w:val="single"/>
            <w:lang w:eastAsia="ru-RU"/>
          </w:rPr>
          <w:t xml:space="preserve">.</w:t>
        </w:r>
        <w:r>
          <w:rPr>
            <w:rFonts w:ascii="Times New Roman" w:hAnsi="Times New Roman" w:eastAsia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 xml:space="preserve">tvel</w:t>
        </w:r>
        <w:r>
          <w:rPr>
            <w:rFonts w:ascii="Times New Roman" w:hAnsi="Times New Roman" w:eastAsia="Times New Roman" w:cs="Times New Roman"/>
            <w:color w:val="0000ff" w:themeColor="hyperlink"/>
            <w:sz w:val="28"/>
            <w:szCs w:val="28"/>
            <w:u w:val="single"/>
            <w:lang w:eastAsia="ru-RU"/>
          </w:rPr>
          <w:t xml:space="preserve">.</w:t>
        </w:r>
        <w:r>
          <w:rPr>
            <w:rFonts w:ascii="Times New Roman" w:hAnsi="Times New Roman" w:eastAsia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 xml:space="preserve">ru</w:t>
        </w:r>
        <w:r>
          <w:rPr>
            <w:rFonts w:ascii="Times New Roman" w:hAnsi="Times New Roman" w:eastAsia="Times New Roman" w:cs="Times New Roman"/>
            <w:color w:val="0000ff" w:themeColor="hyperlink"/>
            <w:sz w:val="28"/>
            <w:szCs w:val="28"/>
            <w:u w:val="single"/>
            <w:lang w:eastAsia="ru-RU"/>
          </w:rPr>
          <w:t xml:space="preserve">/</w:t>
        </w:r>
        <w:r>
          <w:rPr>
            <w:rFonts w:ascii="Times New Roman" w:hAnsi="Times New Roman" w:eastAsia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 xml:space="preserve">design</w:t>
        </w:r>
      </w:hyperlink>
      <w:r/>
      <w:r>
        <w:rPr>
          <w:rFonts w:ascii="Times New Roman" w:hAnsi="Times New Roman" w:eastAsia="Times New Roman" w:cs="Times New Roman"/>
          <w:color w:val="0000ff" w:themeColor="hyperlink"/>
          <w:sz w:val="28"/>
          <w:szCs w:val="28"/>
          <w:u w:val="single"/>
          <w:lang w:eastAsia="ru-RU"/>
        </w:rPr>
      </w:r>
    </w:p>
    <w:p>
      <w:pPr>
        <w:pStyle w:val="706"/>
        <w:jc w:val="center"/>
        <w:rPr>
          <w:b w:val="0"/>
          <w:sz w:val="28"/>
          <w:szCs w:val="28"/>
        </w:rPr>
      </w:pPr>
      <w:r/>
      <w:bookmarkStart w:id="7" w:name="_Toc176957908"/>
      <w:r>
        <w:rPr>
          <w:b w:val="0"/>
          <w:sz w:val="28"/>
          <w:szCs w:val="28"/>
        </w:rPr>
        <w:t xml:space="preserve">7</w:t>
      </w:r>
      <w:r>
        <w:rPr>
          <w:b w:val="0"/>
          <w:sz w:val="28"/>
          <w:szCs w:val="28"/>
        </w:rPr>
        <w:t xml:space="preserve">.</w:t>
      </w:r>
      <w:r>
        <w:rPr>
          <w:b w:val="0"/>
          <w:sz w:val="28"/>
          <w:szCs w:val="28"/>
        </w:rPr>
        <w:t xml:space="preserve"> </w:t>
      </w:r>
      <w:r>
        <w:rPr>
          <w:b w:val="0"/>
          <w:sz w:val="28"/>
          <w:szCs w:val="28"/>
        </w:rPr>
        <w:t xml:space="preserve">Церемония награждения</w:t>
      </w:r>
      <w:bookmarkEnd w:id="7"/>
      <w:r/>
      <w:r>
        <w:rPr>
          <w:b w:val="0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7.1. Торжественная церемония награждения победителей Конкурса проводится в павильоне «АТОМ» на ВДНХ.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7.2.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Награждение победителей Конкурса проводится на торжественной церемонии с вручением дипломов.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7.3.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Победители приглашаются на церемонию награждения в г. Москву. Точная информация о дате и месте проведения церемонии будет направлена дополнительно.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06"/>
        <w:jc w:val="center"/>
        <w:rPr>
          <w:b w:val="0"/>
          <w:sz w:val="28"/>
          <w:szCs w:val="28"/>
        </w:rPr>
      </w:pPr>
      <w:r/>
      <w:bookmarkStart w:id="8" w:name="_Toc175216736"/>
      <w:r/>
      <w:bookmarkStart w:id="9" w:name="_Toc176957909"/>
      <w:r>
        <w:rPr>
          <w:rFonts w:eastAsia="Calibri"/>
          <w:b w:val="0"/>
          <w:sz w:val="28"/>
          <w:szCs w:val="28"/>
        </w:rPr>
        <w:t xml:space="preserve">8</w:t>
      </w:r>
      <w:r>
        <w:rPr>
          <w:rFonts w:eastAsia="Calibri"/>
          <w:b w:val="0"/>
          <w:sz w:val="28"/>
          <w:szCs w:val="28"/>
        </w:rPr>
        <w:t xml:space="preserve">.</w:t>
      </w:r>
      <w:r>
        <w:rPr>
          <w:rFonts w:eastAsia="Calibri"/>
          <w:b w:val="0"/>
          <w:sz w:val="28"/>
          <w:szCs w:val="28"/>
        </w:rPr>
        <w:t xml:space="preserve"> </w:t>
      </w:r>
      <w:bookmarkStart w:id="10" w:name="_Toc169624016"/>
      <w:r/>
      <w:bookmarkStart w:id="11" w:name="_Toc171072520"/>
      <w:r>
        <w:rPr>
          <w:b w:val="0"/>
          <w:sz w:val="28"/>
          <w:szCs w:val="28"/>
        </w:rPr>
        <w:t xml:space="preserve">Особые условия</w:t>
      </w:r>
      <w:bookmarkEnd w:id="8"/>
      <w:r/>
      <w:bookmarkEnd w:id="9"/>
      <w:r/>
      <w:bookmarkEnd w:id="10"/>
      <w:r/>
      <w:bookmarkEnd w:id="11"/>
      <w:r/>
      <w:r>
        <w:rPr>
          <w:b w:val="0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возникновения ситуаций и/или вопросов, допускающих неоднозначное толкование настоящего Положения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и/или не описанных настоящим Положением, окончательное решение о таком толковании и/или разъяснении принимается исключительно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рганизатором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Конкурса.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567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Положению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ЗАЯВКА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онкурсе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1474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2386"/>
        <w:gridCol w:w="2386"/>
        <w:gridCol w:w="2386"/>
        <w:gridCol w:w="2386"/>
        <w:gridCol w:w="2528"/>
      </w:tblGrid>
      <w:tr>
        <w:tblPrEx/>
        <w:trPr>
          <w:trHeight w:val="879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6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/>
            <w:bookmarkStart w:id="12" w:name="P00330001"/>
            <w:r/>
            <w:bookmarkStart w:id="13" w:name="P00330000"/>
            <w:r/>
            <w:bookmarkEnd w:id="12"/>
            <w:r/>
            <w:bookmarkEnd w:id="13"/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t xml:space="preserve">Члены команды/</w:t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br/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t xml:space="preserve">с</w:t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t xml:space="preserve">ведения</w:t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/>
            <w:bookmarkStart w:id="14" w:name="P00330002"/>
            <w:r/>
            <w:bookmarkEnd w:id="14"/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t xml:space="preserve">Капитан команды</w:t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/>
            <w:bookmarkStart w:id="15" w:name="P00330003"/>
            <w:r/>
            <w:bookmarkEnd w:id="15"/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t xml:space="preserve">Участник</w:t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/>
            <w:bookmarkStart w:id="16" w:name="P00330004"/>
            <w:r/>
            <w:bookmarkEnd w:id="16"/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t xml:space="preserve">Участник</w:t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/>
            <w:bookmarkStart w:id="17" w:name="P00330005"/>
            <w:r/>
            <w:bookmarkEnd w:id="17"/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t xml:space="preserve">Участник</w:t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5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/>
            <w:bookmarkStart w:id="18" w:name="P00330006"/>
            <w:r/>
            <w:bookmarkEnd w:id="18"/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t xml:space="preserve">Участник</w:t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670" w:type="dxa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/>
            <w:bookmarkStart w:id="19" w:name="P00330007"/>
            <w:r/>
            <w:bookmarkEnd w:id="19"/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t xml:space="preserve">ФИО</w:t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5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</w:tr>
      <w:tr>
        <w:tblPrEx/>
        <w:trPr>
          <w:trHeight w:val="439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670" w:type="dxa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/>
            <w:bookmarkStart w:id="20" w:name="P0033000A"/>
            <w:r/>
            <w:bookmarkStart w:id="21" w:name="P00330009"/>
            <w:r/>
            <w:bookmarkEnd w:id="20"/>
            <w:r/>
            <w:bookmarkEnd w:id="21"/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t xml:space="preserve">Дата рождения        </w:t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/>
            <w:bookmarkStart w:id="22" w:name="P0033000B"/>
            <w:r/>
            <w:bookmarkEnd w:id="22"/>
            <w:r/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/>
            <w:bookmarkStart w:id="23" w:name="P0033000C"/>
            <w:r/>
            <w:bookmarkEnd w:id="23"/>
            <w:r/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/>
            <w:bookmarkStart w:id="24" w:name="P0033000D"/>
            <w:r/>
            <w:bookmarkEnd w:id="24"/>
            <w:r/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/>
            <w:bookmarkStart w:id="25" w:name="P0033000E"/>
            <w:r/>
            <w:bookmarkEnd w:id="25"/>
            <w:r/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5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/>
            <w:bookmarkStart w:id="26" w:name="P0033000F"/>
            <w:r/>
            <w:bookmarkEnd w:id="26"/>
            <w:r/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</w:tr>
      <w:tr>
        <w:tblPrEx/>
        <w:trPr>
          <w:trHeight w:val="1759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670" w:type="dxa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/>
            <w:bookmarkStart w:id="27" w:name="P00330010"/>
            <w:r/>
            <w:bookmarkEnd w:id="27"/>
            <w:r/>
            <w:bookmarkStart w:id="28" w:name="P00330021"/>
            <w:r/>
            <w:bookmarkStart w:id="29" w:name="P00330020"/>
            <w:r/>
            <w:bookmarkStart w:id="30" w:name="P0033001D"/>
            <w:r/>
            <w:bookmarkStart w:id="31" w:name="P00330014"/>
            <w:r/>
            <w:bookmarkStart w:id="32" w:name="P00330013"/>
            <w:r/>
            <w:bookmarkEnd w:id="28"/>
            <w:r/>
            <w:bookmarkEnd w:id="29"/>
            <w:r/>
            <w:bookmarkEnd w:id="30"/>
            <w:r/>
            <w:bookmarkEnd w:id="31"/>
            <w:r/>
            <w:bookmarkEnd w:id="32"/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t xml:space="preserve">Учебное заведение, направление обучения, курс           </w:t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/>
            <w:bookmarkStart w:id="33" w:name="P00330022"/>
            <w:r/>
            <w:bookmarkEnd w:id="33"/>
            <w:r/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/>
            <w:bookmarkStart w:id="34" w:name="P00330023"/>
            <w:r/>
            <w:bookmarkEnd w:id="34"/>
            <w:r/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/>
            <w:bookmarkStart w:id="35" w:name="P00330024"/>
            <w:r/>
            <w:bookmarkEnd w:id="35"/>
            <w:r/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/>
            <w:bookmarkStart w:id="36" w:name="P00330025"/>
            <w:r/>
            <w:bookmarkEnd w:id="36"/>
            <w:r/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5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/>
            <w:bookmarkStart w:id="37" w:name="P00330026"/>
            <w:r/>
            <w:bookmarkEnd w:id="37"/>
            <w:r/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</w:tr>
      <w:tr>
        <w:tblPrEx/>
        <w:trPr>
          <w:trHeight w:val="1759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670" w:type="dxa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/>
            <w:bookmarkStart w:id="38" w:name="P00330027"/>
            <w:r/>
            <w:bookmarkEnd w:id="38"/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t xml:space="preserve">Направление конкурсной работы</w:t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0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670" w:type="dxa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/>
            <w:bookmarkStart w:id="39" w:name="P0033005D"/>
            <w:r/>
            <w:bookmarkStart w:id="40" w:name="P00330059"/>
            <w:r/>
            <w:bookmarkStart w:id="41" w:name="P00330048"/>
            <w:r/>
            <w:bookmarkStart w:id="42" w:name="P00330057"/>
            <w:r/>
            <w:bookmarkStart w:id="43" w:name="P0033003F"/>
            <w:r/>
            <w:bookmarkStart w:id="44" w:name="P00330034"/>
            <w:r/>
            <w:bookmarkStart w:id="45" w:name="P0033003E"/>
            <w:r/>
            <w:bookmarkStart w:id="46" w:name="P0033002B"/>
            <w:r/>
            <w:bookmarkStart w:id="47" w:name="P0033002A"/>
            <w:r/>
            <w:bookmarkEnd w:id="39"/>
            <w:r/>
            <w:bookmarkEnd w:id="40"/>
            <w:r/>
            <w:bookmarkEnd w:id="41"/>
            <w:r/>
            <w:bookmarkEnd w:id="42"/>
            <w:r/>
            <w:bookmarkEnd w:id="43"/>
            <w:r/>
            <w:bookmarkEnd w:id="44"/>
            <w:r/>
            <w:bookmarkEnd w:id="45"/>
            <w:r/>
            <w:bookmarkEnd w:id="46"/>
            <w:r/>
            <w:bookmarkEnd w:id="47"/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t xml:space="preserve">Ф</w:t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t xml:space="preserve">ИО, </w:t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t xml:space="preserve">контактный телефон </w:t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t xml:space="preserve">и электронная почта </w:t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t xml:space="preserve">заявителя </w:t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0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  <w:suppressLineNumbers/>
            </w:pP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hi-I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1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Настоящим подтверждаю, что направление заявки в соответствии с условиями Положения о Конкурсе на участие в Конкурсе является добровольным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и окончательным и гарантирую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, что вся информация, содержащаяся в заявке и прилагаемых к ней документах, является подлинной, а такж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е подтверждаю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право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рганизатора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Конкурса на использование всех предоставленных материалов.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Дата: ___________      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  <w:t xml:space="preserve">Подпись: 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right="-14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Подтверждаю мое согласие на передачу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рганизатору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персональных данных и прав на публикацию и тиражирование работ при сохранении авторских прав (с указанием авторства) без уплаты за это какого-либо вознаграждения.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Дата: ___________      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  <w:t xml:space="preserve">Подпись: 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right="-14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Подтверждаю мое согласие на передачу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рганизатору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персональных данных и прав на публикацию и тиражирование работ при сохранении авторских прав (с указанием авторства) без уплаты за это какого-либо вознаграждения.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Дата: ___________      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  <w:t xml:space="preserve">Подпись: 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right="-14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Подтверждаю мое согласие на передачу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рганизатору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персональных данных и прав на публикацию и тиражирование работ при сохранении авторских прав (с указанием авторства) без уплаты за это какого-либо вознаграждения.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Дата: ___________      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  <w:t xml:space="preserve">Подпись: 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right="-14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Подтверждаю мое согласие на передачу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рганизатору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персональных данных и прав на публикацию и тиражирование работ при сохранении авторских прав (с указанием авторства) без уплаты за это какого-либо вознаграждения.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Дата: ___________      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  <w:t xml:space="preserve">Подпись: 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right="-14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Подтверждаю мое согласие на передачу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рганизатору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персональных данных и прав на публикацию и тиражирование работ при сохранении авторских прав (с указанием авторства) без уплаты за это какого-либо вознаграждения.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Дата: ___________      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  <w:t xml:space="preserve">Подпись: 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sectPr>
      <w:footnotePr/>
      <w:endnotePr/>
      <w:type w:val="nextPage"/>
      <w:pgSz w:w="16838" w:h="11906" w:orient="landscape"/>
      <w:pgMar w:top="1418" w:right="1134" w:bottom="567" w:left="1134" w:header="567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ahoma">
    <w:panose1 w:val="020B0506030602030204"/>
  </w:font>
  <w:font w:name="Noto Sans Devanagari"/>
  <w:font w:name="Segoe UI">
    <w:panose1 w:val="020B0502040504020204"/>
  </w:font>
  <w:font w:name="Times New Roman">
    <w:panose1 w:val="02020603050405020304"/>
  </w:font>
  <w:font w:name="PT Astra Serif"/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center"/>
    </w:pPr>
    <w:r/>
    <w:r/>
  </w:p>
  <w:p>
    <w:pPr>
      <w:pStyle w:val="73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6524117"/>
      <w:docPartObj>
        <w:docPartGallery w:val="Page Numbers (Top of Page)"/>
        <w:docPartUnique w:val="true"/>
      </w:docPartObj>
      <w:rPr/>
    </w:sdtPr>
    <w:sdtContent>
      <w:p>
        <w:pPr>
          <w:pStyle w:val="730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</w:rPr>
          <w:t xml:space="preserve">11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8"/>
    <w:link w:val="7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8"/>
    <w:link w:val="70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8"/>
    <w:link w:val="70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8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3"/>
    <w:next w:val="7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3"/>
    <w:next w:val="7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3"/>
    <w:next w:val="7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3"/>
    <w:next w:val="7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3"/>
    <w:next w:val="7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08"/>
    <w:link w:val="721"/>
    <w:uiPriority w:val="10"/>
    <w:rPr>
      <w:sz w:val="48"/>
      <w:szCs w:val="48"/>
    </w:rPr>
  </w:style>
  <w:style w:type="paragraph" w:styleId="36">
    <w:name w:val="Subtitle"/>
    <w:basedOn w:val="703"/>
    <w:next w:val="7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8"/>
    <w:link w:val="3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8"/>
    <w:link w:val="730"/>
    <w:uiPriority w:val="99"/>
  </w:style>
  <w:style w:type="character" w:styleId="45">
    <w:name w:val="Footer Char"/>
    <w:basedOn w:val="708"/>
    <w:link w:val="731"/>
    <w:uiPriority w:val="99"/>
  </w:style>
  <w:style w:type="character" w:styleId="47">
    <w:name w:val="Caption Char"/>
    <w:basedOn w:val="724"/>
    <w:link w:val="731"/>
    <w:uiPriority w:val="99"/>
  </w:style>
  <w:style w:type="table" w:styleId="49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8"/>
    <w:uiPriority w:val="99"/>
    <w:unhideWhenUsed/>
    <w:rPr>
      <w:vertAlign w:val="superscript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8"/>
    <w:uiPriority w:val="99"/>
    <w:semiHidden/>
    <w:unhideWhenUsed/>
    <w:rPr>
      <w:vertAlign w:val="superscript"/>
    </w:rPr>
  </w:style>
  <w:style w:type="paragraph" w:styleId="182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4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qFormat/>
    <w:pPr>
      <w:spacing w:after="200" w:line="276" w:lineRule="auto"/>
    </w:pPr>
  </w:style>
  <w:style w:type="paragraph" w:styleId="704">
    <w:name w:val="Heading 1"/>
    <w:basedOn w:val="703"/>
    <w:next w:val="703"/>
    <w:link w:val="717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05">
    <w:name w:val="Heading 2"/>
    <w:basedOn w:val="703"/>
    <w:link w:val="711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706">
    <w:name w:val="Heading 3"/>
    <w:basedOn w:val="703"/>
    <w:link w:val="712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707">
    <w:name w:val="Heading 4"/>
    <w:basedOn w:val="703"/>
    <w:next w:val="703"/>
    <w:link w:val="743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Заголовок 2 Знак"/>
    <w:basedOn w:val="708"/>
    <w:link w:val="705"/>
    <w:uiPriority w:val="9"/>
    <w:qFormat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712" w:customStyle="1">
    <w:name w:val="Заголовок 3 Знак"/>
    <w:basedOn w:val="708"/>
    <w:link w:val="706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713" w:customStyle="1">
    <w:name w:val="Интернет-ссылка"/>
    <w:basedOn w:val="708"/>
    <w:uiPriority w:val="99"/>
    <w:unhideWhenUsed/>
    <w:rPr>
      <w:color w:val="0000ff"/>
      <w:u w:val="single"/>
    </w:rPr>
  </w:style>
  <w:style w:type="character" w:styleId="714" w:customStyle="1">
    <w:name w:val="Дата1"/>
    <w:basedOn w:val="708"/>
    <w:qFormat/>
  </w:style>
  <w:style w:type="character" w:styleId="715" w:customStyle="1">
    <w:name w:val="pcat"/>
    <w:basedOn w:val="708"/>
    <w:qFormat/>
  </w:style>
  <w:style w:type="character" w:styleId="716">
    <w:name w:val="Strong"/>
    <w:basedOn w:val="708"/>
    <w:uiPriority w:val="22"/>
    <w:qFormat/>
    <w:rPr>
      <w:b/>
      <w:bCs/>
    </w:rPr>
  </w:style>
  <w:style w:type="character" w:styleId="717" w:customStyle="1">
    <w:name w:val="Заголовок 1 Знак"/>
    <w:basedOn w:val="708"/>
    <w:link w:val="704"/>
    <w:uiPriority w:val="9"/>
    <w:qFormat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718" w:customStyle="1">
    <w:name w:val="Верхний колонтитул Знак"/>
    <w:basedOn w:val="708"/>
    <w:uiPriority w:val="99"/>
    <w:qFormat/>
  </w:style>
  <w:style w:type="character" w:styleId="719" w:customStyle="1">
    <w:name w:val="Нижний колонтитул Знак"/>
    <w:basedOn w:val="708"/>
    <w:uiPriority w:val="99"/>
    <w:qFormat/>
  </w:style>
  <w:style w:type="character" w:styleId="720" w:customStyle="1">
    <w:name w:val="Текст выноски Знак"/>
    <w:basedOn w:val="708"/>
    <w:uiPriority w:val="99"/>
    <w:semiHidden/>
    <w:qFormat/>
    <w:rPr>
      <w:rFonts w:ascii="Segoe UI" w:hAnsi="Segoe UI" w:cs="Segoe UI"/>
      <w:sz w:val="18"/>
      <w:szCs w:val="18"/>
    </w:rPr>
  </w:style>
  <w:style w:type="paragraph" w:styleId="721">
    <w:name w:val="Title"/>
    <w:basedOn w:val="703"/>
    <w:next w:val="722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722">
    <w:name w:val="Body Text"/>
    <w:basedOn w:val="703"/>
    <w:pPr>
      <w:spacing w:after="140"/>
    </w:pPr>
  </w:style>
  <w:style w:type="paragraph" w:styleId="723">
    <w:name w:val="List"/>
    <w:basedOn w:val="722"/>
    <w:rPr>
      <w:rFonts w:ascii="PT Astra Serif" w:hAnsi="PT Astra Serif" w:cs="Noto Sans Devanagari"/>
    </w:rPr>
  </w:style>
  <w:style w:type="paragraph" w:styleId="724">
    <w:name w:val="Caption"/>
    <w:basedOn w:val="703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725">
    <w:name w:val="index heading"/>
    <w:basedOn w:val="703"/>
    <w:qFormat/>
    <w:pPr>
      <w:suppressLineNumbers/>
    </w:pPr>
    <w:rPr>
      <w:rFonts w:ascii="PT Astra Serif" w:hAnsi="PT Astra Serif" w:cs="Noto Sans Devanagari"/>
    </w:rPr>
  </w:style>
  <w:style w:type="paragraph" w:styleId="726">
    <w:name w:val="Normal (Web)"/>
    <w:basedOn w:val="703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7" w:customStyle="1">
    <w:name w:val="Default"/>
    <w:qFormat/>
    <w:rPr>
      <w:rFonts w:ascii="Times New Roman" w:hAnsi="Times New Roman" w:eastAsia="Calibri" w:cs="Times New Roman"/>
      <w:color w:val="000000"/>
      <w:sz w:val="24"/>
      <w:szCs w:val="24"/>
    </w:rPr>
  </w:style>
  <w:style w:type="paragraph" w:styleId="728">
    <w:name w:val="List Paragraph"/>
    <w:basedOn w:val="703"/>
    <w:uiPriority w:val="34"/>
    <w:qFormat/>
    <w:pPr>
      <w:contextualSpacing/>
      <w:ind w:left="720"/>
      <w:spacing w:after="160" w:line="259" w:lineRule="auto"/>
    </w:pPr>
  </w:style>
  <w:style w:type="paragraph" w:styleId="729" w:customStyle="1">
    <w:name w:val="Верхний и нижний колонтитулы"/>
    <w:basedOn w:val="703"/>
    <w:qFormat/>
  </w:style>
  <w:style w:type="paragraph" w:styleId="730">
    <w:name w:val="Header"/>
    <w:basedOn w:val="7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31">
    <w:name w:val="Footer"/>
    <w:basedOn w:val="7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32">
    <w:name w:val="Balloon Text"/>
    <w:basedOn w:val="703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33">
    <w:name w:val="Hyperlink"/>
    <w:basedOn w:val="708"/>
    <w:uiPriority w:val="99"/>
    <w:unhideWhenUsed/>
    <w:rPr>
      <w:color w:val="0000ff" w:themeColor="hyperlink"/>
      <w:u w:val="single"/>
    </w:rPr>
  </w:style>
  <w:style w:type="character" w:styleId="734">
    <w:name w:val="annotation reference"/>
    <w:basedOn w:val="708"/>
    <w:uiPriority w:val="99"/>
    <w:semiHidden/>
    <w:unhideWhenUsed/>
    <w:rPr>
      <w:sz w:val="16"/>
      <w:szCs w:val="16"/>
    </w:rPr>
  </w:style>
  <w:style w:type="paragraph" w:styleId="735">
    <w:name w:val="annotation text"/>
    <w:basedOn w:val="703"/>
    <w:link w:val="736"/>
    <w:uiPriority w:val="99"/>
    <w:unhideWhenUsed/>
    <w:pPr>
      <w:spacing w:line="240" w:lineRule="auto"/>
    </w:pPr>
    <w:rPr>
      <w:sz w:val="20"/>
      <w:szCs w:val="20"/>
    </w:rPr>
  </w:style>
  <w:style w:type="character" w:styleId="736" w:customStyle="1">
    <w:name w:val="Текст примечания Знак"/>
    <w:basedOn w:val="708"/>
    <w:link w:val="735"/>
    <w:uiPriority w:val="99"/>
    <w:rPr>
      <w:sz w:val="20"/>
      <w:szCs w:val="20"/>
    </w:rPr>
  </w:style>
  <w:style w:type="paragraph" w:styleId="737">
    <w:name w:val="annotation subject"/>
    <w:basedOn w:val="735"/>
    <w:next w:val="735"/>
    <w:link w:val="738"/>
    <w:uiPriority w:val="99"/>
    <w:semiHidden/>
    <w:unhideWhenUsed/>
    <w:rPr>
      <w:b/>
      <w:bCs/>
    </w:rPr>
  </w:style>
  <w:style w:type="character" w:styleId="738" w:customStyle="1">
    <w:name w:val="Тема примечания Знак"/>
    <w:basedOn w:val="736"/>
    <w:link w:val="737"/>
    <w:uiPriority w:val="99"/>
    <w:semiHidden/>
    <w:rPr>
      <w:b/>
      <w:bCs/>
      <w:sz w:val="20"/>
      <w:szCs w:val="20"/>
    </w:rPr>
  </w:style>
  <w:style w:type="paragraph" w:styleId="739">
    <w:name w:val="TOC Heading"/>
    <w:basedOn w:val="704"/>
    <w:next w:val="703"/>
    <w:uiPriority w:val="39"/>
    <w:unhideWhenUsed/>
    <w:qFormat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740">
    <w:name w:val="toc 3"/>
    <w:basedOn w:val="703"/>
    <w:next w:val="703"/>
    <w:uiPriority w:val="39"/>
    <w:unhideWhenUsed/>
    <w:pPr>
      <w:ind w:left="560" w:hanging="560"/>
      <w:jc w:val="both"/>
      <w:spacing w:after="100" w:line="240" w:lineRule="auto"/>
      <w:tabs>
        <w:tab w:val="left" w:pos="1100" w:leader="none"/>
        <w:tab w:val="right" w:pos="9345" w:leader="dot"/>
      </w:tabs>
    </w:pPr>
    <w:rPr>
      <w:rFonts w:ascii="Times New Roman" w:hAnsi="Times New Roman" w:eastAsia="Calibri" w:cs="Times New Roman"/>
      <w:sz w:val="28"/>
      <w:szCs w:val="28"/>
    </w:rPr>
  </w:style>
  <w:style w:type="paragraph" w:styleId="741">
    <w:name w:val="toc 1"/>
    <w:basedOn w:val="703"/>
    <w:next w:val="703"/>
    <w:uiPriority w:val="39"/>
    <w:unhideWhenUsed/>
    <w:pPr>
      <w:jc w:val="both"/>
      <w:spacing w:after="100" w:line="240" w:lineRule="auto"/>
    </w:pPr>
    <w:rPr>
      <w:rFonts w:ascii="Times New Roman" w:hAnsi="Times New Roman" w:eastAsia="Calibri" w:cs="Times New Roman"/>
      <w:sz w:val="28"/>
      <w:szCs w:val="28"/>
    </w:rPr>
  </w:style>
  <w:style w:type="table" w:styleId="742">
    <w:name w:val="Table Grid"/>
    <w:basedOn w:val="70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43" w:customStyle="1">
    <w:name w:val="Заголовок 4 Знак"/>
    <w:basedOn w:val="708"/>
    <w:link w:val="707"/>
    <w:uiPriority w:val="9"/>
    <w:semiHidden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744">
    <w:name w:val="Body Text 2"/>
    <w:basedOn w:val="703"/>
    <w:link w:val="745"/>
    <w:uiPriority w:val="99"/>
    <w:semiHidden/>
    <w:unhideWhenUsed/>
    <w:pPr>
      <w:spacing w:after="120" w:line="480" w:lineRule="auto"/>
    </w:pPr>
  </w:style>
  <w:style w:type="character" w:styleId="745" w:customStyle="1">
    <w:name w:val="Основной текст 2 Знак"/>
    <w:basedOn w:val="708"/>
    <w:link w:val="744"/>
    <w:uiPriority w:val="99"/>
    <w:semiHidden/>
  </w:style>
  <w:style w:type="paragraph" w:styleId="746" w:customStyle="1">
    <w:name w:val="ConsPlusNormal"/>
    <w:pPr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47" w:customStyle="1">
    <w:name w:val="Сетка таблицы1"/>
    <w:basedOn w:val="709"/>
    <w:next w:val="742"/>
    <w:uiPriority w:val="59"/>
    <w:pPr>
      <w:spacing w:after="200" w:line="276" w:lineRule="auto"/>
    </w:pPr>
    <w:rPr>
      <w:rFonts w:eastAsiaTheme="minorEastAsi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8">
    <w:name w:val="Revision"/>
    <w:hidden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landing.tvel.ru/design" TargetMode="External"/><Relationship Id="rId13" Type="http://schemas.openxmlformats.org/officeDocument/2006/relationships/hyperlink" Target="https://landing.tvel.ru/desig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BF3DA-77A6-4FFF-89E0-4CBE63CE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Borisova_VA</dc:creator>
  <dc:description/>
  <dc:language>ru-RU</dc:language>
  <cp:lastModifiedBy>Юлия Береснева</cp:lastModifiedBy>
  <cp:revision>3</cp:revision>
  <dcterms:created xsi:type="dcterms:W3CDTF">2024-10-04T10:25:00Z</dcterms:created>
  <dcterms:modified xsi:type="dcterms:W3CDTF">2024-10-22T06:39:13Z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