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C" w:rsidRPr="0009344C" w:rsidRDefault="00847881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81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2pt;margin-top:-32.15pt;width:186.95pt;height:28.95pt;z-index:251660288;mso-wrap-distance-left:9.05pt;mso-wrap-distance-right:9.05pt" stroked="f">
            <v:fill color2="black"/>
            <v:textbox inset="7.25pt,3.65pt,7.25pt,3.65pt">
              <w:txbxContent>
                <w:p w:rsidR="0009344C" w:rsidRDefault="0009344C" w:rsidP="000934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1225" cy="2762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26" t="-214" r="-26" b="-2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4C" w:rsidRPr="0009344C"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  <w:t>МИНОБРНАУКИ РОССИИ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«Юго-Западный государственный университет»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(ЮЗГУ)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  <w:t>Кафедра информационной безопасности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hi-IN"/>
        </w:rPr>
        <w:br/>
      </w:r>
    </w:p>
    <w:p w:rsidR="0009344C" w:rsidRPr="0009344C" w:rsidRDefault="0009344C" w:rsidP="0009344C">
      <w:pPr>
        <w:spacing w:line="240" w:lineRule="auto"/>
        <w:ind w:right="21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УТВЕРЖДАЮ</w:t>
      </w:r>
    </w:p>
    <w:p w:rsidR="0009344C" w:rsidRPr="0009344C" w:rsidRDefault="0009344C" w:rsidP="0009344C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Проректор по учебной работе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 </w:t>
      </w:r>
      <w:r w:rsidRPr="0009344C">
        <w:rPr>
          <w:rFonts w:ascii="Times New Roman" w:hAnsi="Times New Roman" w:cs="Times New Roman"/>
          <w:sz w:val="28"/>
          <w:szCs w:val="28"/>
          <w:u w:val="single"/>
          <w:lang w:eastAsia="hi-IN"/>
        </w:rPr>
        <w:t xml:space="preserve">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 xml:space="preserve">О.Г. Локтионова    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  <w:lang w:eastAsia="hi-IN"/>
        </w:rPr>
        <w:t xml:space="preserve">                    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«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»</w:t>
      </w:r>
      <w:r w:rsidRPr="0009344C">
        <w:rPr>
          <w:rFonts w:ascii="Times New Roman" w:eastAsia="Droid Sans Fallback" w:hAnsi="Times New Roman" w:cs="Times New Roman"/>
          <w:sz w:val="28"/>
          <w:szCs w:val="28"/>
          <w:u w:val="single"/>
          <w:lang w:eastAsia="hi-IN"/>
        </w:rPr>
        <w:t xml:space="preserve">                                  </w:t>
      </w: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2017г.</w:t>
      </w:r>
    </w:p>
    <w:p w:rsidR="0009344C" w:rsidRPr="0009344C" w:rsidRDefault="0009344C" w:rsidP="0009344C">
      <w:pPr>
        <w:spacing w:line="240" w:lineRule="auto"/>
        <w:contextualSpacing/>
        <w:jc w:val="right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МЕТОД ОДНОМЕРНОГО КОДИРОВАНИЯ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ИЗОБРАЖЕНИЙ ДОКУМЕНТАЛЬНЫХ </w:t>
      </w:r>
      <w:r w:rsidRPr="008255A4">
        <w:rPr>
          <w:rFonts w:ascii="Times New Roman" w:hAnsi="Times New Roman" w:cs="Times New Roman"/>
          <w:b/>
          <w:sz w:val="28"/>
          <w:szCs w:val="28"/>
        </w:rPr>
        <w:t>ФАКСИМИЛЬН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825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СООБЩЕНИЙ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работ по дисциплине «</w:t>
      </w:r>
      <w:r w:rsidR="00F746E1">
        <w:rPr>
          <w:rFonts w:ascii="Times New Roman" w:hAnsi="Times New Roman" w:cs="Times New Roman"/>
          <w:sz w:val="28"/>
          <w:szCs w:val="28"/>
        </w:rPr>
        <w:t>Введение в направление подготовки и планирование профессиональной карьеры</w:t>
      </w:r>
      <w:r w:rsidRPr="0009344C">
        <w:rPr>
          <w:rFonts w:ascii="Times New Roman" w:hAnsi="Times New Roman" w:cs="Times New Roman"/>
          <w:sz w:val="28"/>
          <w:szCs w:val="28"/>
        </w:rPr>
        <w:t>» для студентов специальности 10.0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4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Droid Sans Fallback" w:hAnsi="Times New Roman" w:cs="Times New Roman"/>
          <w:sz w:val="28"/>
          <w:szCs w:val="28"/>
          <w:lang w:eastAsia="hi-IN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Droid Sans Fallback" w:hAnsi="Times New Roman" w:cs="Times New Roman"/>
          <w:sz w:val="28"/>
          <w:szCs w:val="28"/>
          <w:lang w:eastAsia="hi-IN"/>
        </w:rPr>
        <w:t>Курск 2017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004.725.7</w:t>
      </w:r>
    </w:p>
    <w:p w:rsidR="0009344C" w:rsidRPr="0009344C" w:rsidRDefault="0009344C" w:rsidP="0009344C">
      <w:pPr>
        <w:shd w:val="clear" w:color="auto" w:fill="FFFFFF"/>
        <w:overflowPunct w:val="0"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Составители: А.Л. Марухленко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Рецензент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технических наук, доцент кафедры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комплексной защиты информационных систем </w:t>
      </w:r>
      <w:r w:rsidRPr="000934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А.Г. Спеваков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A4">
        <w:rPr>
          <w:rFonts w:ascii="Times New Roman" w:hAnsi="Times New Roman" w:cs="Times New Roman"/>
          <w:b/>
          <w:sz w:val="28"/>
          <w:szCs w:val="28"/>
        </w:rPr>
        <w:t>Метод одномерного кодирования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изображений документальных </w:t>
      </w:r>
      <w:r w:rsidRPr="008255A4">
        <w:rPr>
          <w:rFonts w:ascii="Times New Roman" w:hAnsi="Times New Roman" w:cs="Times New Roman"/>
          <w:b/>
          <w:sz w:val="28"/>
          <w:szCs w:val="28"/>
        </w:rPr>
        <w:t>факсимильн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825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сообщений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: методические указания к выполнению практических работ / Юго-Зап. гос. ун-т; сост.: А. Л. Марухленко Курск, 2017.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Библиогр.: с. 14.</w:t>
      </w:r>
    </w:p>
    <w:p w:rsidR="0009344C" w:rsidRPr="0009344C" w:rsidRDefault="0009344C" w:rsidP="0009344C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Рассматривается метод ко</w:t>
      </w:r>
      <w:r w:rsidR="00F746E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изображений документальных факсимильных сообщений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. Указывается порядок выполнения практической работы, правила оформления, содержание отчета. </w:t>
      </w:r>
    </w:p>
    <w:p w:rsidR="0009344C" w:rsidRPr="0009344C" w:rsidRDefault="0009344C" w:rsidP="00F746E1">
      <w:pPr>
        <w:overflowPunct w:val="0"/>
        <w:autoSpaceDE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Методические указания по выполнению практических работ по дисциплине «</w:t>
      </w:r>
      <w:r w:rsidR="00F746E1">
        <w:rPr>
          <w:rFonts w:ascii="Times New Roman" w:hAnsi="Times New Roman" w:cs="Times New Roman"/>
          <w:sz w:val="28"/>
          <w:szCs w:val="28"/>
        </w:rPr>
        <w:t>Введение в направление подготовки и планирование профессиональной карьеры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», п</w:t>
      </w:r>
      <w:r w:rsidRPr="0009344C">
        <w:rPr>
          <w:rFonts w:ascii="Times New Roman" w:hAnsi="Times New Roman" w:cs="Times New Roman"/>
          <w:color w:val="000000"/>
          <w:sz w:val="28"/>
          <w:szCs w:val="28"/>
        </w:rPr>
        <w:t xml:space="preserve">редназначены 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для студентов укрупненной группы специальностей и направлений подготовки 10.0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3</w:t>
      </w:r>
      <w:r w:rsidRPr="0009344C"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.0</w:t>
      </w:r>
      <w:r>
        <w:rPr>
          <w:rFonts w:ascii="Times New Roman" w:eastAsia="Code2000" w:hAnsi="Times New Roman" w:cs="Times New Roman"/>
          <w:kern w:val="1"/>
          <w:sz w:val="28"/>
          <w:szCs w:val="28"/>
          <w:lang w:bidi="hi-IN"/>
        </w:rPr>
        <w:t>1</w:t>
      </w: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дневной формы обучения.</w:t>
      </w:r>
    </w:p>
    <w:p w:rsidR="0009344C" w:rsidRPr="0009344C" w:rsidRDefault="0009344C" w:rsidP="00F746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 телекоммуникационных систем».</w:t>
      </w: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Текст печатается в авторской редакции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Подписано в печать                                . Формат 60х84 1/16.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Усл. печ. л.     . Уч. –изд. л.     . Тираж 50 экз. Заказ     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color w:val="000000"/>
          <w:sz w:val="28"/>
          <w:szCs w:val="28"/>
        </w:rPr>
        <w:t>Юго-Западный государственный университет</w:t>
      </w:r>
      <w:r w:rsidRPr="000934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44C" w:rsidRPr="0009344C" w:rsidRDefault="0009344C" w:rsidP="000934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eastAsia="Calibri" w:hAnsi="Times New Roman" w:cs="Times New Roman"/>
          <w:sz w:val="28"/>
          <w:szCs w:val="28"/>
        </w:rPr>
        <w:t>305040,  г. Курск, ул. 50 лет Октября, 94.</w:t>
      </w:r>
    </w:p>
    <w:p w:rsidR="008255A4" w:rsidRPr="00263622" w:rsidRDefault="008255A4" w:rsidP="008255A4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left="1311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Pr="003212E2" w:rsidRDefault="0009344C" w:rsidP="0009344C">
      <w:pPr>
        <w:pStyle w:val="a9"/>
        <w:jc w:val="center"/>
      </w:pPr>
      <w:r w:rsidRPr="003212E2">
        <w:rPr>
          <w:rFonts w:ascii="Times New Roman" w:hAnsi="Times New Roman"/>
          <w:b/>
          <w:color w:val="auto"/>
          <w:sz w:val="28"/>
          <w:szCs w:val="28"/>
        </w:rPr>
        <w:t>СОДЕРЖАНИЕ</w:t>
      </w:r>
    </w:p>
    <w:p w:rsidR="0009344C" w:rsidRPr="003212E2" w:rsidRDefault="0009344C" w:rsidP="0009344C">
      <w:pPr>
        <w:rPr>
          <w:b/>
          <w:szCs w:val="28"/>
          <w:lang w:eastAsia="ru-RU"/>
        </w:rPr>
      </w:pPr>
    </w:p>
    <w:p w:rsidR="0009344C" w:rsidRDefault="00847881" w:rsidP="0009344C">
      <w:pPr>
        <w:pStyle w:val="11"/>
        <w:tabs>
          <w:tab w:val="right" w:leader="dot" w:pos="9345"/>
        </w:tabs>
        <w:spacing w:after="0" w:line="360" w:lineRule="auto"/>
      </w:pPr>
      <w:r w:rsidRPr="00847881">
        <w:fldChar w:fldCharType="begin"/>
      </w:r>
      <w:r w:rsidR="0009344C" w:rsidRPr="003212E2">
        <w:instrText xml:space="preserve"> TOC \o "1-3" \h \z \u </w:instrText>
      </w:r>
      <w:r w:rsidRPr="00847881">
        <w:fldChar w:fldCharType="separate"/>
      </w:r>
      <w:hyperlink w:anchor="__RefHeading___Toc494656839" w:history="1">
        <w:r w:rsidR="0009344C" w:rsidRPr="003212E2">
          <w:rPr>
            <w:sz w:val="28"/>
            <w:szCs w:val="28"/>
            <w:lang w:eastAsia="ru-RU"/>
          </w:rPr>
          <w:t>ЦЕЛЬ РАБОТЫ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847881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ТЕОРЕТИЧЕСКИЕ СВЕДЕНИЯ</w:t>
        </w:r>
        <w:r w:rsidR="0009344C" w:rsidRPr="003212E2">
          <w:rPr>
            <w:sz w:val="28"/>
            <w:szCs w:val="28"/>
            <w:lang w:eastAsia="ru-RU"/>
          </w:rPr>
          <w:tab/>
          <w:t>4</w:t>
        </w:r>
      </w:hyperlink>
    </w:p>
    <w:p w:rsidR="0009344C" w:rsidRDefault="00847881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ПРАКТИЧЕСКОЕ ЗАДАНИЕ</w:t>
        </w:r>
        <w:r w:rsidR="0009344C" w:rsidRPr="003212E2">
          <w:rPr>
            <w:sz w:val="28"/>
            <w:szCs w:val="28"/>
            <w:lang w:eastAsia="ru-RU"/>
          </w:rPr>
          <w:tab/>
        </w:r>
        <w:r w:rsidR="0009344C">
          <w:rPr>
            <w:sz w:val="28"/>
            <w:szCs w:val="28"/>
            <w:lang w:eastAsia="ru-RU"/>
          </w:rPr>
          <w:t>5</w:t>
        </w:r>
      </w:hyperlink>
    </w:p>
    <w:p w:rsidR="0009344C" w:rsidRDefault="00847881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КОНТРОЛЬНЫЕ ВОПРОСЫ</w:t>
        </w:r>
        <w:r w:rsidR="0009344C" w:rsidRPr="003212E2">
          <w:rPr>
            <w:sz w:val="28"/>
            <w:szCs w:val="28"/>
            <w:lang w:eastAsia="ru-RU"/>
          </w:rPr>
          <w:tab/>
        </w:r>
        <w:r w:rsidR="0009344C">
          <w:rPr>
            <w:sz w:val="28"/>
            <w:szCs w:val="28"/>
            <w:lang w:eastAsia="ru-RU"/>
          </w:rPr>
          <w:t>5</w:t>
        </w:r>
      </w:hyperlink>
    </w:p>
    <w:p w:rsidR="0009344C" w:rsidRPr="0009344C" w:rsidRDefault="00847881" w:rsidP="0009344C">
      <w:pPr>
        <w:pStyle w:val="11"/>
        <w:tabs>
          <w:tab w:val="right" w:leader="dot" w:pos="9345"/>
        </w:tabs>
        <w:spacing w:after="0" w:line="360" w:lineRule="auto"/>
      </w:pPr>
      <w:hyperlink w:anchor="__RefHeading___Toc494656839" w:history="1">
        <w:r w:rsidR="0009344C">
          <w:rPr>
            <w:sz w:val="28"/>
            <w:szCs w:val="28"/>
            <w:lang w:eastAsia="ru-RU"/>
          </w:rPr>
          <w:t>БИБЛИОГРАФИЧЕСКИЙ СП</w:t>
        </w:r>
        <w:r w:rsidR="00F746E1">
          <w:rPr>
            <w:sz w:val="28"/>
            <w:szCs w:val="28"/>
            <w:lang w:eastAsia="ru-RU"/>
          </w:rPr>
          <w:t>И</w:t>
        </w:r>
        <w:r w:rsidR="0009344C">
          <w:rPr>
            <w:sz w:val="28"/>
            <w:szCs w:val="28"/>
            <w:lang w:eastAsia="ru-RU"/>
          </w:rPr>
          <w:t>СИОК</w:t>
        </w:r>
        <w:r w:rsidR="0009344C" w:rsidRPr="003212E2">
          <w:rPr>
            <w:sz w:val="28"/>
            <w:szCs w:val="28"/>
            <w:lang w:eastAsia="ru-RU"/>
          </w:rPr>
          <w:tab/>
        </w:r>
        <w:r w:rsidR="0009344C">
          <w:rPr>
            <w:sz w:val="28"/>
            <w:szCs w:val="28"/>
            <w:lang w:eastAsia="ru-RU"/>
          </w:rPr>
          <w:t>6</w:t>
        </w:r>
      </w:hyperlink>
    </w:p>
    <w:p w:rsidR="0009344C" w:rsidRDefault="0009344C">
      <w:pPr>
        <w:rPr>
          <w:lang w:eastAsia="zh-CN"/>
        </w:rPr>
      </w:pPr>
      <w:r>
        <w:rPr>
          <w:lang w:eastAsia="zh-CN"/>
        </w:rPr>
        <w:br w:type="page"/>
      </w:r>
    </w:p>
    <w:p w:rsidR="008255A4" w:rsidRPr="00263622" w:rsidRDefault="00847881" w:rsidP="0009344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E2">
        <w:lastRenderedPageBreak/>
        <w:fldChar w:fldCharType="end"/>
      </w:r>
      <w:r w:rsidR="0009344C" w:rsidRPr="0026362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>Ознакомление с принципами и 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одномерного кодирования и декодирования </w:t>
      </w:r>
      <w:r w:rsidRPr="008255A4">
        <w:rPr>
          <w:rFonts w:ascii="Times New Roman" w:hAnsi="Times New Roman" w:cs="Times New Roman"/>
          <w:sz w:val="28"/>
          <w:szCs w:val="28"/>
        </w:rPr>
        <w:t>документальных</w:t>
      </w:r>
      <w:r>
        <w:rPr>
          <w:rFonts w:ascii="Times New Roman" w:hAnsi="Times New Roman" w:cs="Times New Roman"/>
          <w:sz w:val="28"/>
          <w:szCs w:val="28"/>
        </w:rPr>
        <w:t xml:space="preserve"> факсимильных сообщений</w:t>
      </w:r>
      <w:r w:rsidRPr="002636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Рекомендации Т.4 МСЭ-Т</w:t>
      </w:r>
      <w:r w:rsidRPr="00263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практических заданий студенты должны ориентироваться в основных аспектах теоретических основ электротехники, владеть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263622">
        <w:rPr>
          <w:rFonts w:ascii="Times New Roman" w:hAnsi="Times New Roman" w:cs="Times New Roman"/>
          <w:sz w:val="28"/>
          <w:szCs w:val="28"/>
        </w:rPr>
        <w:t xml:space="preserve">методами представления и преобразования сообщений и сигналов. </w:t>
      </w:r>
    </w:p>
    <w:p w:rsidR="008255A4" w:rsidRPr="005B7361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>В результате выполнения практического задания студенты должны освоить принципы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одномерного кодирования и декодирования </w:t>
      </w:r>
      <w:r w:rsidRPr="008255A4">
        <w:rPr>
          <w:rFonts w:ascii="Times New Roman" w:hAnsi="Times New Roman" w:cs="Times New Roman"/>
          <w:sz w:val="28"/>
          <w:szCs w:val="28"/>
        </w:rPr>
        <w:t>документальных</w:t>
      </w:r>
      <w:r>
        <w:rPr>
          <w:rFonts w:ascii="Times New Roman" w:hAnsi="Times New Roman" w:cs="Times New Roman"/>
          <w:sz w:val="28"/>
          <w:szCs w:val="28"/>
        </w:rPr>
        <w:t xml:space="preserve"> факсимильных сообщений</w:t>
      </w:r>
      <w:r w:rsidRPr="002636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огласно Рекомендации Т.4 МСЭ-Т, а также </w:t>
      </w:r>
      <w:r w:rsidRPr="00263622">
        <w:rPr>
          <w:rFonts w:ascii="Times New Roman" w:hAnsi="Times New Roman" w:cs="Times New Roman"/>
          <w:sz w:val="28"/>
          <w:szCs w:val="28"/>
        </w:rPr>
        <w:t xml:space="preserve">знать признаки проявления </w:t>
      </w:r>
      <w:r>
        <w:rPr>
          <w:rFonts w:ascii="Times New Roman" w:hAnsi="Times New Roman" w:cs="Times New Roman"/>
          <w:sz w:val="28"/>
          <w:szCs w:val="28"/>
        </w:rPr>
        <w:t>факсимильных</w:t>
      </w:r>
      <w:r w:rsidRPr="00263622">
        <w:rPr>
          <w:rFonts w:ascii="Times New Roman" w:hAnsi="Times New Roman" w:cs="Times New Roman"/>
          <w:sz w:val="28"/>
          <w:szCs w:val="28"/>
        </w:rPr>
        <w:t xml:space="preserve"> сигналов этого вида.</w:t>
      </w:r>
      <w:r w:rsidRPr="005B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4" w:rsidRDefault="0009344C" w:rsidP="0009344C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63622">
        <w:rPr>
          <w:rFonts w:ascii="Times New Roman" w:hAnsi="Times New Roman" w:cs="Times New Roman"/>
          <w:b/>
          <w:sz w:val="28"/>
          <w:szCs w:val="28"/>
        </w:rPr>
        <w:t>ЕОРЕТИЧЕСКИЕ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255A4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A4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Факсимильные изображения обладают высокой </w:t>
      </w:r>
      <w:r w:rsidRPr="00851B6D">
        <w:rPr>
          <w:rFonts w:ascii="Times New Roman" w:hAnsi="Times New Roman" w:cs="Times New Roman"/>
          <w:b/>
          <w:i/>
          <w:sz w:val="28"/>
          <w:szCs w:val="28"/>
        </w:rPr>
        <w:t>информационной избыточностью</w:t>
      </w:r>
      <w:r>
        <w:rPr>
          <w:rFonts w:ascii="Times New Roman" w:hAnsi="Times New Roman" w:cs="Times New Roman"/>
          <w:sz w:val="28"/>
          <w:szCs w:val="28"/>
        </w:rPr>
        <w:t>. Вследствие этого ф</w:t>
      </w:r>
      <w:r w:rsidRPr="0046333E">
        <w:rPr>
          <w:rFonts w:ascii="Times New Roman" w:hAnsi="Times New Roman" w:cs="Times New Roman"/>
          <w:sz w:val="28"/>
          <w:szCs w:val="28"/>
        </w:rPr>
        <w:t>аксимильная передача изображений обладает высокой помехозащищенностью, возникающей за счет значительной избыточности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3E">
        <w:rPr>
          <w:rFonts w:ascii="Times New Roman" w:hAnsi="Times New Roman" w:cs="Times New Roman"/>
          <w:sz w:val="28"/>
          <w:szCs w:val="28"/>
        </w:rPr>
        <w:t xml:space="preserve">сообщений. </w:t>
      </w:r>
      <w:r>
        <w:rPr>
          <w:rFonts w:ascii="Times New Roman" w:hAnsi="Times New Roman" w:cs="Times New Roman"/>
          <w:sz w:val="28"/>
          <w:szCs w:val="28"/>
        </w:rPr>
        <w:t xml:space="preserve">Однако имеющаяся избыточность приводит к необходимости передачи больших объемов информации. </w:t>
      </w:r>
    </w:p>
    <w:p w:rsidR="008255A4" w:rsidRPr="0046333E" w:rsidRDefault="008255A4" w:rsidP="00825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3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6333E">
        <w:rPr>
          <w:rFonts w:ascii="Times New Roman" w:hAnsi="Times New Roman" w:cs="Times New Roman"/>
          <w:sz w:val="28"/>
          <w:szCs w:val="28"/>
        </w:rPr>
        <w:t xml:space="preserve"> факсимильных </w:t>
      </w:r>
      <w:r>
        <w:rPr>
          <w:rFonts w:ascii="Times New Roman" w:hAnsi="Times New Roman" w:cs="Times New Roman"/>
          <w:sz w:val="28"/>
          <w:szCs w:val="28"/>
        </w:rPr>
        <w:t xml:space="preserve">аппаратов </w:t>
      </w:r>
      <w:r w:rsidRPr="0046333E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3E">
        <w:rPr>
          <w:rFonts w:ascii="Times New Roman" w:hAnsi="Times New Roman" w:cs="Times New Roman"/>
          <w:sz w:val="28"/>
          <w:szCs w:val="28"/>
        </w:rPr>
        <w:t>и четвертой групп (использующих для передачи информации об изображении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3E">
        <w:rPr>
          <w:rFonts w:ascii="Times New Roman" w:hAnsi="Times New Roman" w:cs="Times New Roman"/>
          <w:sz w:val="28"/>
          <w:szCs w:val="28"/>
        </w:rPr>
        <w:t xml:space="preserve">дискретные сигналы) применяется процедура, называемая </w:t>
      </w:r>
      <w:r w:rsidRPr="00851B6D">
        <w:rPr>
          <w:rFonts w:ascii="Times New Roman" w:hAnsi="Times New Roman" w:cs="Times New Roman"/>
          <w:b/>
          <w:i/>
          <w:sz w:val="28"/>
          <w:szCs w:val="28"/>
        </w:rPr>
        <w:t>сжатием</w:t>
      </w:r>
      <w:r w:rsidRPr="004633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51B6D">
        <w:rPr>
          <w:rFonts w:ascii="Times New Roman" w:hAnsi="Times New Roman" w:cs="Times New Roman"/>
          <w:b/>
          <w:i/>
          <w:sz w:val="28"/>
          <w:szCs w:val="28"/>
        </w:rPr>
        <w:t>компрессией</w:t>
      </w:r>
      <w:r w:rsidRPr="0046333E">
        <w:rPr>
          <w:rFonts w:ascii="Times New Roman" w:hAnsi="Times New Roman" w:cs="Times New Roman"/>
          <w:sz w:val="28"/>
          <w:szCs w:val="28"/>
        </w:rPr>
        <w:t>) данных.</w:t>
      </w:r>
    </w:p>
    <w:p w:rsidR="008255A4" w:rsidRDefault="008255A4" w:rsidP="00825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3E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4633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компрессии данных </w:t>
      </w:r>
      <w:r w:rsidRPr="0046333E">
        <w:rPr>
          <w:rFonts w:ascii="Times New Roman" w:hAnsi="Times New Roman" w:cs="Times New Roman"/>
          <w:sz w:val="28"/>
          <w:szCs w:val="28"/>
        </w:rPr>
        <w:t>заключается в том, что информация о состоянии элементов строки (белое, черное) передается специальными кодовыми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3E">
        <w:rPr>
          <w:rFonts w:ascii="Times New Roman" w:hAnsi="Times New Roman" w:cs="Times New Roman"/>
          <w:sz w:val="28"/>
          <w:szCs w:val="28"/>
        </w:rPr>
        <w:t>комбинациями неравномерного двоичного кода. Для формата А4 строка, состоящая из 1728 элементов разложения, может содержать либо элементы одного сообщения (например, белого), либо представлять чередование 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33E">
        <w:rPr>
          <w:rFonts w:ascii="Times New Roman" w:hAnsi="Times New Roman" w:cs="Times New Roman"/>
          <w:sz w:val="28"/>
          <w:szCs w:val="28"/>
        </w:rPr>
        <w:t xml:space="preserve">(так называемых </w:t>
      </w:r>
      <w:r w:rsidRPr="004633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серий</w:t>
      </w:r>
      <w:r w:rsidRPr="0046333E">
        <w:rPr>
          <w:rFonts w:ascii="Times New Roman" w:hAnsi="Times New Roman" w:cs="Times New Roman"/>
          <w:sz w:val="28"/>
          <w:szCs w:val="28"/>
        </w:rPr>
        <w:t>) белого и черного.</w:t>
      </w:r>
    </w:p>
    <w:p w:rsidR="008255A4" w:rsidRDefault="008255A4" w:rsidP="00825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3E">
        <w:rPr>
          <w:rFonts w:ascii="Times New Roman" w:hAnsi="Times New Roman" w:cs="Times New Roman"/>
          <w:sz w:val="28"/>
          <w:szCs w:val="28"/>
        </w:rPr>
        <w:t xml:space="preserve">Принцип построения кодовых комбинаций следующий: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последовательностям одинаковых элементов изображения (или </w:t>
      </w:r>
      <w:r w:rsidRPr="000878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сериям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41597C">
        <w:rPr>
          <w:rFonts w:ascii="Times New Roman" w:hAnsi="Times New Roman" w:cs="Times New Roman"/>
          <w:bCs/>
          <w:iCs/>
          <w:sz w:val="28"/>
          <w:szCs w:val="28"/>
        </w:rPr>
        <w:t>, имеющим большую вероятность появления, соответствуют комбинации с меньшим числом элементов</w:t>
      </w:r>
      <w:r w:rsidRPr="0046333E">
        <w:rPr>
          <w:rFonts w:ascii="Times New Roman" w:hAnsi="Times New Roman" w:cs="Times New Roman"/>
          <w:sz w:val="28"/>
          <w:szCs w:val="28"/>
        </w:rPr>
        <w:t xml:space="preserve">. Характерной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кодовых </w:t>
      </w:r>
      <w:r w:rsidRPr="0046333E">
        <w:rPr>
          <w:rFonts w:ascii="Times New Roman" w:hAnsi="Times New Roman" w:cs="Times New Roman"/>
          <w:sz w:val="28"/>
          <w:szCs w:val="28"/>
        </w:rPr>
        <w:t xml:space="preserve">комбинаций является </w:t>
      </w:r>
      <w:r w:rsidRPr="0041597C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повторяющихся последовательностей </w:t>
      </w:r>
      <w:r w:rsidRPr="004159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1597C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4159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41597C">
        <w:rPr>
          <w:rFonts w:ascii="Times New Roman" w:hAnsi="Times New Roman" w:cs="Times New Roman"/>
          <w:sz w:val="28"/>
          <w:szCs w:val="28"/>
        </w:rPr>
        <w:t>.</w:t>
      </w:r>
      <w:r w:rsidRPr="0046333E">
        <w:rPr>
          <w:rFonts w:ascii="Times New Roman" w:hAnsi="Times New Roman" w:cs="Times New Roman"/>
          <w:sz w:val="28"/>
          <w:szCs w:val="28"/>
        </w:rPr>
        <w:t xml:space="preserve"> Этим 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вается однозначное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декодирование, отпадает необходимость введения дополнительных элементов для обозначения начала и конца комбинаций (т.е. фазирующих элементов). Таким образом, размер кодового слова, образующегося при кодировании методом Хаффмана серии черных или белых элементов изображения тем короче, чем больше вероятность появления этой серии.</w:t>
      </w:r>
    </w:p>
    <w:p w:rsidR="008255A4" w:rsidRDefault="008255A4" w:rsidP="00825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факсимильных аппаратов группы 3 используется т. н.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модифицированный код Хаффмана </w:t>
      </w:r>
      <w:r>
        <w:rPr>
          <w:rFonts w:ascii="Times New Roman" w:hAnsi="Times New Roman" w:cs="Times New Roman"/>
          <w:sz w:val="28"/>
          <w:szCs w:val="28"/>
        </w:rPr>
        <w:t>– способ одномерного кодирования по процедуре Хаффмана, рекомендованный МСЭ для кодирования черно-белых факсимильных изображений.</w:t>
      </w:r>
    </w:p>
    <w:p w:rsidR="008255A4" w:rsidRDefault="008255A4" w:rsidP="00825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этому методу кодирования в зависимости от числа элементов в кодируемой серии кодовые комбинации подразделяются на два вида: завершающие и начальные.</w:t>
      </w:r>
    </w:p>
    <w:p w:rsidR="008255A4" w:rsidRDefault="008255A4" w:rsidP="00825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Завершающий код </w:t>
      </w:r>
      <w:r>
        <w:rPr>
          <w:rFonts w:ascii="Times New Roman" w:hAnsi="Times New Roman" w:cs="Times New Roman"/>
          <w:sz w:val="28"/>
          <w:szCs w:val="28"/>
        </w:rPr>
        <w:t>включает кодовые комбинации, соответствующие сериям изображения, содержащим от 1 до 63 элементов, отдельно для серий белого и черного (см. Приложение 6 Табл. 6.1).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Начальный код </w:t>
      </w:r>
      <w:r>
        <w:rPr>
          <w:rFonts w:ascii="Times New Roman" w:hAnsi="Times New Roman" w:cs="Times New Roman"/>
          <w:sz w:val="28"/>
          <w:szCs w:val="28"/>
        </w:rPr>
        <w:t>включает кодовые комбинации с числом элементов от 64 до 1728, кратностью 64 элемента (см. Приложение 6  Табл. 6.2)</w:t>
      </w:r>
      <w:r w:rsidR="000A1A2F">
        <w:rPr>
          <w:rFonts w:ascii="Times New Roman" w:hAnsi="Times New Roman" w:cs="Times New Roman"/>
          <w:sz w:val="28"/>
          <w:szCs w:val="28"/>
        </w:rPr>
        <w:t>.</w:t>
      </w:r>
    </w:p>
    <w:p w:rsidR="00754C69" w:rsidRDefault="00754C69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схема кодирования факсимильных сообщений </w:t>
      </w:r>
      <w:r w:rsidRPr="00754C69">
        <w:rPr>
          <w:rFonts w:ascii="Times New Roman" w:hAnsi="Times New Roman" w:cs="Times New Roman"/>
          <w:sz w:val="28"/>
          <w:szCs w:val="28"/>
        </w:rPr>
        <w:t xml:space="preserve">модифицированным кодом Хаффмана </w:t>
      </w:r>
      <w:r w:rsidR="001968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68D5" w:rsidRPr="00FE391B">
        <w:rPr>
          <w:rFonts w:ascii="Times New Roman" w:hAnsi="Times New Roman" w:cs="Times New Roman"/>
          <w:spacing w:val="-4"/>
          <w:sz w:val="28"/>
          <w:szCs w:val="28"/>
        </w:rPr>
        <w:t>Рекомендаци</w:t>
      </w:r>
      <w:r w:rsidR="001968D5">
        <w:rPr>
          <w:rFonts w:ascii="Times New Roman" w:hAnsi="Times New Roman" w:cs="Times New Roman"/>
          <w:spacing w:val="-4"/>
          <w:sz w:val="28"/>
          <w:szCs w:val="28"/>
        </w:rPr>
        <w:t>ями</w:t>
      </w:r>
      <w:r w:rsidR="001968D5" w:rsidRPr="00FE391B">
        <w:rPr>
          <w:rFonts w:ascii="Times New Roman" w:hAnsi="Times New Roman" w:cs="Times New Roman"/>
          <w:spacing w:val="-4"/>
          <w:sz w:val="28"/>
          <w:szCs w:val="28"/>
        </w:rPr>
        <w:t xml:space="preserve"> МСЭ-Т T.4 </w:t>
      </w:r>
      <w:r w:rsidRPr="00754C69">
        <w:rPr>
          <w:rFonts w:ascii="Times New Roman" w:hAnsi="Times New Roman" w:cs="Times New Roman"/>
          <w:sz w:val="28"/>
          <w:szCs w:val="28"/>
        </w:rPr>
        <w:t>приведена в Приложении 6.</w:t>
      </w:r>
    </w:p>
    <w:p w:rsidR="008255A4" w:rsidRDefault="008255A4" w:rsidP="00754C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0934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91B" w:rsidRPr="00FE391B" w:rsidRDefault="00FE391B" w:rsidP="008255A4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1B">
        <w:rPr>
          <w:rFonts w:ascii="Times New Roman" w:hAnsi="Times New Roman" w:cs="Times New Roman"/>
          <w:sz w:val="28"/>
          <w:szCs w:val="28"/>
        </w:rPr>
        <w:t>Создать простое для преобразования исходное факсимильное сообщение.</w:t>
      </w:r>
    </w:p>
    <w:p w:rsidR="008255A4" w:rsidRPr="00263622" w:rsidRDefault="008255A4" w:rsidP="008255A4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На основе использования таблицы кодирования </w:t>
      </w:r>
      <w:r w:rsidR="00FE391B">
        <w:rPr>
          <w:rFonts w:ascii="Times New Roman" w:hAnsi="Times New Roman" w:cs="Times New Roman"/>
          <w:sz w:val="28"/>
          <w:szCs w:val="28"/>
        </w:rPr>
        <w:t xml:space="preserve">факсимильных </w:t>
      </w:r>
      <w:r w:rsidRPr="00263622">
        <w:rPr>
          <w:rFonts w:ascii="Times New Roman" w:hAnsi="Times New Roman" w:cs="Times New Roman"/>
          <w:sz w:val="28"/>
          <w:szCs w:val="28"/>
        </w:rPr>
        <w:t xml:space="preserve"> сообщений </w:t>
      </w:r>
      <w:r w:rsidR="00FE391B">
        <w:rPr>
          <w:rFonts w:ascii="Times New Roman" w:hAnsi="Times New Roman" w:cs="Times New Roman"/>
          <w:sz w:val="28"/>
          <w:szCs w:val="28"/>
        </w:rPr>
        <w:t xml:space="preserve">на основе модифицированного </w:t>
      </w:r>
      <w:r w:rsidRPr="00263622">
        <w:rPr>
          <w:rFonts w:ascii="Times New Roman" w:hAnsi="Times New Roman" w:cs="Times New Roman"/>
          <w:sz w:val="28"/>
          <w:szCs w:val="28"/>
        </w:rPr>
        <w:t>код</w:t>
      </w:r>
      <w:r w:rsidR="00FE391B">
        <w:rPr>
          <w:rFonts w:ascii="Times New Roman" w:hAnsi="Times New Roman" w:cs="Times New Roman"/>
          <w:sz w:val="28"/>
          <w:szCs w:val="28"/>
        </w:rPr>
        <w:t>а</w:t>
      </w:r>
      <w:r w:rsidRPr="00263622">
        <w:rPr>
          <w:rFonts w:ascii="Times New Roman" w:hAnsi="Times New Roman" w:cs="Times New Roman"/>
          <w:sz w:val="28"/>
          <w:szCs w:val="28"/>
        </w:rPr>
        <w:t xml:space="preserve"> </w:t>
      </w:r>
      <w:r w:rsidR="00FE391B">
        <w:rPr>
          <w:rFonts w:ascii="Times New Roman" w:hAnsi="Times New Roman" w:cs="Times New Roman"/>
          <w:sz w:val="28"/>
          <w:szCs w:val="28"/>
        </w:rPr>
        <w:t>Хаффмана</w:t>
      </w:r>
      <w:r w:rsidRPr="00263622">
        <w:rPr>
          <w:rFonts w:ascii="Times New Roman" w:hAnsi="Times New Roman" w:cs="Times New Roman"/>
          <w:sz w:val="28"/>
          <w:szCs w:val="28"/>
        </w:rPr>
        <w:t xml:space="preserve"> представить (преобразовать) </w:t>
      </w:r>
      <w:r w:rsidR="00FE391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1B">
        <w:rPr>
          <w:rFonts w:ascii="Times New Roman" w:hAnsi="Times New Roman" w:cs="Times New Roman"/>
          <w:sz w:val="28"/>
          <w:szCs w:val="28"/>
        </w:rPr>
        <w:t>факсимильное</w:t>
      </w:r>
      <w:r w:rsidRPr="00263622">
        <w:rPr>
          <w:rFonts w:ascii="Times New Roman" w:hAnsi="Times New Roman" w:cs="Times New Roman"/>
          <w:sz w:val="28"/>
          <w:szCs w:val="28"/>
        </w:rPr>
        <w:t xml:space="preserve"> сообщение в кодированно</w:t>
      </w:r>
      <w:r w:rsidR="00FE391B">
        <w:rPr>
          <w:rFonts w:ascii="Times New Roman" w:hAnsi="Times New Roman" w:cs="Times New Roman"/>
          <w:sz w:val="28"/>
          <w:szCs w:val="28"/>
        </w:rPr>
        <w:t>м виде</w:t>
      </w:r>
      <w:r w:rsidRPr="00263622">
        <w:rPr>
          <w:rFonts w:ascii="Times New Roman" w:hAnsi="Times New Roman" w:cs="Times New Roman"/>
          <w:sz w:val="28"/>
          <w:szCs w:val="28"/>
        </w:rPr>
        <w:t xml:space="preserve"> (т.е. </w:t>
      </w:r>
      <w:r w:rsidR="00FE391B">
        <w:rPr>
          <w:rFonts w:ascii="Times New Roman" w:hAnsi="Times New Roman" w:cs="Times New Roman"/>
          <w:sz w:val="28"/>
          <w:szCs w:val="28"/>
        </w:rPr>
        <w:t>в виде последовательностей двоичных символов</w:t>
      </w:r>
      <w:r w:rsidRPr="00263622">
        <w:rPr>
          <w:rFonts w:ascii="Times New Roman" w:hAnsi="Times New Roman" w:cs="Times New Roman"/>
          <w:sz w:val="28"/>
          <w:szCs w:val="28"/>
        </w:rPr>
        <w:t>).</w:t>
      </w:r>
    </w:p>
    <w:p w:rsidR="00FE391B" w:rsidRPr="00FE391B" w:rsidRDefault="008255A4" w:rsidP="00FE391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sz w:val="28"/>
          <w:szCs w:val="28"/>
        </w:rPr>
        <w:t xml:space="preserve">Декодировать </w:t>
      </w:r>
      <w:r w:rsidR="00FE391B">
        <w:rPr>
          <w:rFonts w:ascii="Times New Roman" w:hAnsi="Times New Roman" w:cs="Times New Roman"/>
          <w:sz w:val="28"/>
          <w:szCs w:val="28"/>
        </w:rPr>
        <w:t>заданное кодированное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1B">
        <w:rPr>
          <w:rFonts w:ascii="Times New Roman" w:hAnsi="Times New Roman" w:cs="Times New Roman"/>
          <w:sz w:val="28"/>
          <w:szCs w:val="28"/>
        </w:rPr>
        <w:t xml:space="preserve">факсимильное </w:t>
      </w:r>
      <w:r w:rsidRPr="00263622">
        <w:rPr>
          <w:rFonts w:ascii="Times New Roman" w:hAnsi="Times New Roman" w:cs="Times New Roman"/>
          <w:sz w:val="28"/>
          <w:szCs w:val="28"/>
        </w:rPr>
        <w:t xml:space="preserve">сообщение, преобразовав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391B">
        <w:rPr>
          <w:rFonts w:ascii="Times New Roman" w:hAnsi="Times New Roman" w:cs="Times New Roman"/>
          <w:sz w:val="28"/>
          <w:szCs w:val="28"/>
        </w:rPr>
        <w:t>исходную форму</w:t>
      </w:r>
      <w:r w:rsidRPr="00263622">
        <w:rPr>
          <w:rFonts w:ascii="Times New Roman" w:hAnsi="Times New Roman" w:cs="Times New Roman"/>
          <w:sz w:val="28"/>
          <w:szCs w:val="28"/>
        </w:rPr>
        <w:t>.</w:t>
      </w:r>
    </w:p>
    <w:p w:rsidR="00FE391B" w:rsidRPr="00FE391B" w:rsidRDefault="00FE391B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1B" w:rsidRPr="00FE391B" w:rsidRDefault="00FE391B" w:rsidP="00FE391B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2006" w:rsidRPr="0009344C" w:rsidRDefault="00562006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Что такое факсимильная связь (или фототелеграфия)</w:t>
      </w:r>
    </w:p>
    <w:p w:rsidR="00562006" w:rsidRPr="0009344C" w:rsidRDefault="00562006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Как классифицируется факсимильное оборудование ?</w:t>
      </w:r>
    </w:p>
    <w:p w:rsidR="000A1A2F" w:rsidRPr="0009344C" w:rsidRDefault="000A1A2F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Что такое факсимильное сообщение?</w:t>
      </w:r>
    </w:p>
    <w:p w:rsidR="008255A4" w:rsidRPr="0009344C" w:rsidRDefault="000A1A2F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lastRenderedPageBreak/>
        <w:t>Как классифицируются факсимильные сообщения</w:t>
      </w:r>
      <w:r w:rsidR="008255A4" w:rsidRPr="0009344C">
        <w:rPr>
          <w:rFonts w:ascii="Times New Roman" w:hAnsi="Times New Roman" w:cs="Times New Roman"/>
          <w:sz w:val="28"/>
          <w:szCs w:val="28"/>
        </w:rPr>
        <w:t>?</w:t>
      </w:r>
    </w:p>
    <w:p w:rsidR="00562006" w:rsidRPr="0009344C" w:rsidRDefault="00562006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Объяснить общий принцип передачи факсимильных сообщений?</w:t>
      </w:r>
    </w:p>
    <w:p w:rsidR="00562006" w:rsidRPr="0009344C" w:rsidRDefault="00562006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Что такое информационная избыточность факсимильного сообщения?</w:t>
      </w:r>
    </w:p>
    <w:p w:rsidR="00562006" w:rsidRPr="0009344C" w:rsidRDefault="00562006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Что такое коэффициент сжатия факсимильного сообщения?</w:t>
      </w:r>
    </w:p>
    <w:p w:rsidR="008255A4" w:rsidRPr="0009344C" w:rsidRDefault="00562006" w:rsidP="0056200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Пояснить сущность кодирования факсимильных сообщений модифицированным кодом Хаффмана?</w:t>
      </w:r>
    </w:p>
    <w:p w:rsidR="008255A4" w:rsidRPr="0009344C" w:rsidRDefault="008255A4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 xml:space="preserve">По каким признакам можно определить </w:t>
      </w:r>
      <w:r w:rsidR="000A1A2F" w:rsidRPr="0009344C">
        <w:rPr>
          <w:rFonts w:ascii="Times New Roman" w:hAnsi="Times New Roman" w:cs="Times New Roman"/>
          <w:sz w:val="28"/>
          <w:szCs w:val="28"/>
        </w:rPr>
        <w:t>кодированное одномерным кодом Хаффмана факсимильное сообщение</w:t>
      </w:r>
      <w:r w:rsidRPr="0009344C">
        <w:rPr>
          <w:rFonts w:ascii="Times New Roman" w:hAnsi="Times New Roman" w:cs="Times New Roman"/>
          <w:sz w:val="28"/>
          <w:szCs w:val="28"/>
        </w:rPr>
        <w:t>?</w:t>
      </w:r>
    </w:p>
    <w:p w:rsidR="000A1A2F" w:rsidRPr="0009344C" w:rsidRDefault="000A1A2F" w:rsidP="008255A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4C">
        <w:rPr>
          <w:rFonts w:ascii="Times New Roman" w:hAnsi="Times New Roman" w:cs="Times New Roman"/>
          <w:sz w:val="28"/>
          <w:szCs w:val="28"/>
        </w:rPr>
        <w:t>Какому уровню ЭМВОС соответствует кодированное факсимильное сообщение ?</w:t>
      </w:r>
    </w:p>
    <w:p w:rsidR="008255A4" w:rsidRPr="00263622" w:rsidRDefault="008255A4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8255A4" w:rsidP="008255A4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A4" w:rsidRPr="00263622" w:rsidRDefault="0009344C" w:rsidP="0009344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22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255A4" w:rsidRPr="00263622" w:rsidRDefault="008255A4" w:rsidP="008255A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5A4" w:rsidRPr="00263622" w:rsidRDefault="008255A4" w:rsidP="008255A4">
      <w:pPr>
        <w:tabs>
          <w:tab w:val="left" w:pos="454"/>
        </w:tabs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3622">
        <w:rPr>
          <w:rFonts w:ascii="Times New Roman" w:hAnsi="Times New Roman" w:cs="Times New Roman"/>
          <w:spacing w:val="-4"/>
          <w:sz w:val="28"/>
          <w:szCs w:val="28"/>
        </w:rPr>
        <w:t xml:space="preserve">1. Лукьянюк С.Г. Теория электрической связи. Сигналы, помехи и системы передачи: учебное пособие. / С. Г. Лукьянюк, А. М. Потапенко. – Курск.: Юго-Зап. гос. ун-т., 2012. - 223 с.   </w:t>
      </w:r>
    </w:p>
    <w:p w:rsidR="00FE391B" w:rsidRPr="00FE391B" w:rsidRDefault="008255A4" w:rsidP="00FE391B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26362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FE391B" w:rsidRPr="00FE391B">
        <w:rPr>
          <w:rFonts w:ascii="Times New Roman" w:hAnsi="Times New Roman" w:cs="Times New Roman"/>
          <w:spacing w:val="-4"/>
          <w:sz w:val="28"/>
          <w:szCs w:val="28"/>
        </w:rPr>
        <w:t>Рекомендации МСЭ-Т T.4 (07/2003)</w:t>
      </w:r>
    </w:p>
    <w:p w:rsidR="00FE391B" w:rsidRPr="00FE391B" w:rsidRDefault="00FE391B" w:rsidP="00FE391B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E391B">
        <w:rPr>
          <w:rFonts w:ascii="Times New Roman" w:hAnsi="Times New Roman" w:cs="Times New Roman"/>
          <w:spacing w:val="-4"/>
          <w:sz w:val="28"/>
          <w:szCs w:val="28"/>
        </w:rPr>
        <w:t>3. Рекомендации МСЭ-Т T.30 (09/2005)</w:t>
      </w:r>
    </w:p>
    <w:p w:rsidR="00201F68" w:rsidRDefault="00201F68"/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2F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4C" w:rsidRDefault="0009344C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1B" w:rsidRPr="002A2996" w:rsidRDefault="0009344C" w:rsidP="000934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1B" w:rsidRPr="002A299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96">
        <w:rPr>
          <w:rFonts w:ascii="Times New Roman" w:hAnsi="Times New Roman" w:cs="Times New Roman"/>
          <w:b/>
          <w:sz w:val="28"/>
          <w:szCs w:val="28"/>
        </w:rPr>
        <w:t>Схема одномерного кодирования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Ниже описывается схема одномерного кодирования длин серий, рекомендованная для терминалов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группы 3.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</w:p>
    <w:p w:rsidR="00FE391B" w:rsidRPr="002A2996" w:rsidRDefault="000A1A2F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996">
        <w:rPr>
          <w:rFonts w:ascii="Times New Roman" w:hAnsi="Times New Roman" w:cs="Times New Roman"/>
          <w:b/>
          <w:i/>
          <w:sz w:val="28"/>
          <w:szCs w:val="28"/>
        </w:rPr>
        <w:t>Кодированные д</w:t>
      </w:r>
      <w:r w:rsidR="00FE391B" w:rsidRPr="002A2996">
        <w:rPr>
          <w:rFonts w:ascii="Times New Roman" w:hAnsi="Times New Roman" w:cs="Times New Roman"/>
          <w:b/>
          <w:i/>
          <w:sz w:val="28"/>
          <w:szCs w:val="28"/>
        </w:rPr>
        <w:t>анные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Строка </w:t>
      </w:r>
      <w:r w:rsidR="000A1A2F">
        <w:rPr>
          <w:rFonts w:ascii="Times New Roman" w:eastAsia="TT3EFB7o00" w:hAnsi="Times New Roman" w:cs="Times New Roman"/>
          <w:sz w:val="28"/>
          <w:szCs w:val="28"/>
        </w:rPr>
        <w:t xml:space="preserve">кодированных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данных состоит из серий кодовых слов переменной длины. Каждое кодовое слово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представляет длину серии только белого или только черного тона. Серии </w:t>
      </w:r>
      <w:r w:rsidR="000A1A2F">
        <w:rPr>
          <w:rFonts w:ascii="Times New Roman" w:eastAsia="TT3EFB7o00" w:hAnsi="Times New Roman" w:cs="Times New Roman"/>
          <w:sz w:val="28"/>
          <w:szCs w:val="28"/>
        </w:rPr>
        <w:t>«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белого</w:t>
      </w:r>
      <w:r w:rsidR="000A1A2F">
        <w:rPr>
          <w:rFonts w:ascii="Times New Roman" w:eastAsia="TT3EFB7o00" w:hAnsi="Times New Roman" w:cs="Times New Roman"/>
          <w:sz w:val="28"/>
          <w:szCs w:val="28"/>
        </w:rPr>
        <w:t>»</w:t>
      </w: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 и </w:t>
      </w:r>
      <w:r w:rsidR="000A1A2F">
        <w:rPr>
          <w:rFonts w:ascii="Times New Roman" w:eastAsia="TT3EFB7o00" w:hAnsi="Times New Roman" w:cs="Times New Roman"/>
          <w:sz w:val="28"/>
          <w:szCs w:val="28"/>
        </w:rPr>
        <w:t>«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черного</w:t>
      </w:r>
      <w:r w:rsidR="000A1A2F">
        <w:rPr>
          <w:rFonts w:ascii="Times New Roman" w:eastAsia="TT3EFB7o00" w:hAnsi="Times New Roman" w:cs="Times New Roman"/>
          <w:sz w:val="28"/>
          <w:szCs w:val="28"/>
        </w:rPr>
        <w:t xml:space="preserve">» в строке развертки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чередуются. В сумме 1728 элементов изображения представляют одну горизонтальную строку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развертки длиной 215 мм.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Для того чтобы гарантировать удержание синхронизации цвета приемником, все строки </w:t>
      </w:r>
      <w:r w:rsidR="000A1A2F">
        <w:rPr>
          <w:rFonts w:ascii="Times New Roman" w:eastAsia="TT3EFB7o00" w:hAnsi="Times New Roman" w:cs="Times New Roman"/>
          <w:sz w:val="28"/>
          <w:szCs w:val="28"/>
        </w:rPr>
        <w:t xml:space="preserve">кодированных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данных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должны начинаться кодовым словом длины серии белого. Если фактическая строка развертки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начинается с серии черного, то перед ней посылается длина серии белого, равная </w:t>
      </w:r>
      <w:r w:rsidR="000A1A2F">
        <w:rPr>
          <w:rFonts w:ascii="Times New Roman" w:eastAsia="TT3EFB7o00" w:hAnsi="Times New Roman" w:cs="Times New Roman"/>
          <w:sz w:val="28"/>
          <w:szCs w:val="28"/>
        </w:rPr>
        <w:t>«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нулю</w:t>
      </w:r>
      <w:r w:rsidR="000A1A2F">
        <w:rPr>
          <w:rFonts w:ascii="Times New Roman" w:eastAsia="TT3EFB7o00" w:hAnsi="Times New Roman" w:cs="Times New Roman"/>
          <w:sz w:val="28"/>
          <w:szCs w:val="28"/>
        </w:rPr>
        <w:t>»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. Длина серии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черного или белого вплоть до максимальной длины одной строки развертки (1728 п</w:t>
      </w:r>
      <w:r>
        <w:rPr>
          <w:rFonts w:ascii="Times New Roman" w:eastAsia="TT3EFB7o00" w:hAnsi="Times New Roman" w:cs="Times New Roman"/>
          <w:sz w:val="28"/>
          <w:szCs w:val="28"/>
        </w:rPr>
        <w:t>икселей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, т. е.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элементов изображения) определяется с помощью кодовых слов из таблиц 2 и 3. Существуют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кодовые слова двух типов: завершающие кодовые слова и начальные кодовые слова. Каждая длина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серии представляется либо одним завершающим кодовым словом, либо одним начальным кодовым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словом, за которым следует завершающее кодовое слово.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Длины серий в диапазоне от 0 до 63 </w:t>
      </w:r>
      <w:r>
        <w:rPr>
          <w:rFonts w:ascii="Times New Roman" w:eastAsia="TT3EFB7o00" w:hAnsi="Times New Roman" w:cs="Times New Roman"/>
          <w:sz w:val="28"/>
          <w:szCs w:val="28"/>
        </w:rPr>
        <w:t>пикселей</w:t>
      </w: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 кодируются соответствующим своим завершающим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кодовым словом. Необходимо отметить, что существует другой перечень кодовых слов для длин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черных и белых серий.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Длины серий в диапазоне от 64 до 1728 п</w:t>
      </w:r>
      <w:r>
        <w:rPr>
          <w:rFonts w:ascii="Times New Roman" w:eastAsia="TT3EFB7o00" w:hAnsi="Times New Roman" w:cs="Times New Roman"/>
          <w:sz w:val="28"/>
          <w:szCs w:val="28"/>
        </w:rPr>
        <w:t>икселей</w:t>
      </w: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 кодируются сначала начальным кодовым словом,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представляющим длину серии, которая равна или короче требуемой. Затем следует завершающее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кодовое слово, представляющее разность между требуемой длиной серии и длиной серии,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представленной начальным кодом.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b/>
          <w:i/>
          <w:sz w:val="28"/>
          <w:szCs w:val="28"/>
          <w:lang w:val="en-US"/>
        </w:rPr>
      </w:pP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Конец</w:t>
      </w:r>
      <w:r w:rsidRPr="00D90466">
        <w:rPr>
          <w:rFonts w:ascii="Times New Roman" w:eastAsia="TT3EFB7o00" w:hAnsi="Times New Roman" w:cs="Times New Roman"/>
          <w:b/>
          <w:i/>
          <w:sz w:val="28"/>
          <w:szCs w:val="28"/>
          <w:lang w:val="en-US"/>
        </w:rPr>
        <w:t xml:space="preserve"> </w:t>
      </w: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строки</w:t>
      </w:r>
      <w:r w:rsidRPr="00D90466">
        <w:rPr>
          <w:rFonts w:ascii="Times New Roman" w:eastAsia="TT3EFB7o00" w:hAnsi="Times New Roman" w:cs="Times New Roman"/>
          <w:b/>
          <w:i/>
          <w:sz w:val="28"/>
          <w:szCs w:val="28"/>
          <w:lang w:val="en-US"/>
        </w:rPr>
        <w:t xml:space="preserve"> (End-Of-Line, EOL)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Это кодовое слово следует за каждой строкой данных. Это – уникальное кодовое слово, которое не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может появиться в действительной строке данных; поэтому возможно восстановление синхронизации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после пакета ошибок.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lastRenderedPageBreak/>
        <w:t>Кроме того, этот сигнал будет передаваться перед первой строкой данных на странице.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Формат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: 000000000001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b/>
          <w:i/>
          <w:sz w:val="28"/>
          <w:szCs w:val="28"/>
        </w:rPr>
      </w:pP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Заполнение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 xml:space="preserve">Пауза в потоке сообщений может заполняться путем передачи сигнала заполнения </w:t>
      </w:r>
      <w:r>
        <w:rPr>
          <w:rFonts w:ascii="Times New Roman" w:eastAsia="TT3EFB7o00" w:hAnsi="Times New Roman" w:cs="Times New Roman"/>
          <w:sz w:val="28"/>
          <w:szCs w:val="28"/>
        </w:rPr>
        <w:t>«</w:t>
      </w: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Fill</w:t>
      </w:r>
      <w:r>
        <w:rPr>
          <w:rFonts w:ascii="Times New Roman" w:eastAsia="TT3EFB7o00" w:hAnsi="Times New Roman" w:cs="Times New Roman"/>
          <w:sz w:val="28"/>
          <w:szCs w:val="28"/>
        </w:rPr>
        <w:t>»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. Заполнение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может вставляться между строкой данных и EOL, но никогда не вводится внутрь строки данных.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Заполнение должно добавляться для гарантии того, что суммарное время передачи данных,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заполнения и EOL будет не меньше минимального времени передачи полной кодированной строки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развертки, установленного в процедуре управления с предсообщением.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Формат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: последовательность нулей с переменной длиной.</w:t>
      </w:r>
    </w:p>
    <w:p w:rsidR="002A2996" w:rsidRDefault="002A2996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b/>
          <w:i/>
          <w:sz w:val="28"/>
          <w:szCs w:val="28"/>
        </w:rPr>
      </w:pP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b/>
          <w:i/>
          <w:sz w:val="28"/>
          <w:szCs w:val="28"/>
        </w:rPr>
      </w:pP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 xml:space="preserve"> Возврат к управлению (Return To Control, RTC)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Конец передачи документа обозначается путем передачи шести последовательных сигналов EOL.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После этого сигнала RTC передатчик будет передавать команды постсообщения в соответствии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с форматом кадра и скоростями передачи сигналов управления, определенных в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Рекомендации МСЭ-Т T.30.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b/>
          <w:i/>
          <w:sz w:val="28"/>
          <w:szCs w:val="28"/>
        </w:rPr>
        <w:t>Формат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: 000000000001 . . . . . . . . . . 000000000001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(всего 6 раз)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Рисунки 1 и 2 поясняют взаимосвязь определенных выше сигналов. На рисунке 1 представлены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несколько строк развертки данных от начала переданной страницы. На рисунке 2 отражена последняя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кодированная строка развертки на странице.</w:t>
      </w:r>
    </w:p>
    <w:p w:rsidR="002A2996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sz w:val="28"/>
          <w:szCs w:val="28"/>
        </w:rPr>
        <w:t>Идентификация и выбор стандартной кодовой таблицы или расширенной кодовой таблицы должны</w:t>
      </w:r>
      <w:r>
        <w:rPr>
          <w:rFonts w:ascii="Times New Roman" w:eastAsia="TT3EFB7o00" w:hAnsi="Times New Roman" w:cs="Times New Roman"/>
          <w:sz w:val="28"/>
          <w:szCs w:val="28"/>
        </w:rPr>
        <w:t xml:space="preserve"> </w:t>
      </w:r>
      <w:r w:rsidRPr="00D90466">
        <w:rPr>
          <w:rFonts w:ascii="Times New Roman" w:eastAsia="TT3EFB7o00" w:hAnsi="Times New Roman" w:cs="Times New Roman"/>
          <w:sz w:val="28"/>
          <w:szCs w:val="28"/>
        </w:rPr>
        <w:t>осуществляться в предсообщении (фаза В) процедур управления из Рекомендации T.30.</w:t>
      </w:r>
    </w:p>
    <w:p w:rsidR="00FE391B" w:rsidRPr="00D90466" w:rsidRDefault="00FE391B" w:rsidP="00FE391B">
      <w:pPr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  <w:r w:rsidRPr="00D90466">
        <w:rPr>
          <w:rFonts w:ascii="Times New Roman" w:eastAsia="TT3EFB7o00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0100" cy="1485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6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A2996">
        <w:rPr>
          <w:rFonts w:ascii="Times New Roman" w:hAnsi="Times New Roman" w:cs="Times New Roman"/>
          <w:sz w:val="28"/>
          <w:szCs w:val="28"/>
        </w:rPr>
        <w:t>П 6.1</w:t>
      </w:r>
      <w:r>
        <w:rPr>
          <w:rFonts w:ascii="Times New Roman" w:hAnsi="Times New Roman" w:cs="Times New Roman"/>
          <w:sz w:val="28"/>
          <w:szCs w:val="28"/>
        </w:rPr>
        <w:t>. Структура двоично-кодированного факсимильного сообщения (</w:t>
      </w:r>
      <w:r w:rsidR="002A2996">
        <w:rPr>
          <w:rFonts w:ascii="Times New Roman" w:hAnsi="Times New Roman" w:cs="Times New Roman"/>
          <w:sz w:val="28"/>
          <w:szCs w:val="28"/>
        </w:rPr>
        <w:t xml:space="preserve">начало передачи текущей страницы; </w:t>
      </w:r>
      <w:r w:rsidRPr="00D90466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0466">
        <w:rPr>
          <w:rFonts w:ascii="Times New Roman" w:hAnsi="Times New Roman" w:cs="Times New Roman"/>
          <w:sz w:val="28"/>
          <w:szCs w:val="28"/>
        </w:rPr>
        <w:t>инимально</w:t>
      </w:r>
      <w:r>
        <w:rPr>
          <w:rFonts w:ascii="Times New Roman" w:hAnsi="Times New Roman" w:cs="Times New Roman"/>
          <w:sz w:val="28"/>
          <w:szCs w:val="28"/>
        </w:rPr>
        <w:t>-допустимое</w:t>
      </w:r>
      <w:r w:rsidRPr="00D90466">
        <w:rPr>
          <w:rFonts w:ascii="Times New Roman" w:hAnsi="Times New Roman" w:cs="Times New Roman"/>
          <w:sz w:val="28"/>
          <w:szCs w:val="28"/>
        </w:rPr>
        <w:t xml:space="preserve"> время передачи полной кодированной строки развертки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1B" w:rsidRPr="002A299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A2996">
        <w:rPr>
          <w:rFonts w:ascii="Times New Roman" w:hAnsi="Times New Roman" w:cs="Times New Roman"/>
          <w:sz w:val="28"/>
          <w:szCs w:val="28"/>
        </w:rPr>
        <w:t>П.6.1</w:t>
      </w:r>
      <w:r w:rsidRPr="002A2996">
        <w:rPr>
          <w:rFonts w:ascii="Times New Roman" w:hAnsi="Times New Roman" w:cs="Times New Roman"/>
          <w:sz w:val="28"/>
          <w:szCs w:val="28"/>
        </w:rPr>
        <w:t xml:space="preserve"> – Завершающие коды</w:t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0050" cy="72009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T3EFB6o00" w:hAnsi="TT3EFB6o00" w:cs="TT3EFB6o00"/>
        </w:rPr>
      </w:pPr>
    </w:p>
    <w:p w:rsidR="00FE391B" w:rsidRPr="002A299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A2996">
        <w:rPr>
          <w:rFonts w:ascii="Times New Roman" w:hAnsi="Times New Roman" w:cs="Times New Roman"/>
          <w:sz w:val="28"/>
          <w:szCs w:val="28"/>
        </w:rPr>
        <w:t>П6.1а</w:t>
      </w:r>
      <w:r w:rsidRPr="002A2996">
        <w:rPr>
          <w:rFonts w:ascii="Times New Roman" w:hAnsi="Times New Roman" w:cs="Times New Roman"/>
          <w:sz w:val="28"/>
          <w:szCs w:val="28"/>
        </w:rPr>
        <w:t xml:space="preserve"> – Завершающие коды</w:t>
      </w:r>
      <w:r w:rsidR="002A2996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FE391B" w:rsidRPr="00D90466" w:rsidRDefault="00FE391B" w:rsidP="00FE39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0850" cy="6813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681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1B" w:rsidRPr="00D90466" w:rsidRDefault="00FE391B" w:rsidP="00FE391B">
      <w:pPr>
        <w:spacing w:after="0"/>
        <w:ind w:firstLine="709"/>
        <w:jc w:val="both"/>
        <w:rPr>
          <w:rFonts w:ascii="Times New Roman" w:eastAsia="TT3EFB7o00" w:hAnsi="Times New Roman" w:cs="Times New Roman"/>
          <w:sz w:val="28"/>
          <w:szCs w:val="28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FE391B" w:rsidRPr="002A2996" w:rsidRDefault="00FE391B" w:rsidP="00FE391B">
      <w:pPr>
        <w:rPr>
          <w:rFonts w:ascii="Times New Roman" w:hAnsi="Times New Roman" w:cs="Times New Roman"/>
          <w:sz w:val="28"/>
          <w:szCs w:val="28"/>
        </w:rPr>
      </w:pPr>
      <w:r w:rsidRPr="002A299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A2996" w:rsidRPr="002A2996">
        <w:rPr>
          <w:rFonts w:ascii="Times New Roman" w:hAnsi="Times New Roman" w:cs="Times New Roman"/>
          <w:sz w:val="28"/>
          <w:szCs w:val="28"/>
        </w:rPr>
        <w:t>П</w:t>
      </w:r>
      <w:r w:rsidR="002A2996">
        <w:rPr>
          <w:rFonts w:ascii="Times New Roman" w:hAnsi="Times New Roman" w:cs="Times New Roman"/>
          <w:sz w:val="28"/>
          <w:szCs w:val="28"/>
        </w:rPr>
        <w:t xml:space="preserve"> </w:t>
      </w:r>
      <w:r w:rsidR="002A2996" w:rsidRPr="002A2996">
        <w:rPr>
          <w:rFonts w:ascii="Times New Roman" w:hAnsi="Times New Roman" w:cs="Times New Roman"/>
          <w:sz w:val="28"/>
          <w:szCs w:val="28"/>
        </w:rPr>
        <w:t>6.2</w:t>
      </w:r>
      <w:r w:rsidRPr="002A2996">
        <w:rPr>
          <w:rFonts w:ascii="Times New Roman" w:hAnsi="Times New Roman" w:cs="Times New Roman"/>
          <w:sz w:val="28"/>
          <w:szCs w:val="28"/>
        </w:rPr>
        <w:t xml:space="preserve"> – Начальные коды</w:t>
      </w:r>
    </w:p>
    <w:p w:rsidR="00FE391B" w:rsidRDefault="00FE391B" w:rsidP="00FE391B">
      <w:pPr>
        <w:rPr>
          <w:rFonts w:eastAsia="TT3EFB7o00" w:cs="TT3EFB7o00"/>
        </w:rPr>
      </w:pPr>
      <w:r>
        <w:rPr>
          <w:rFonts w:eastAsia="TT3EFB7o00" w:cs="TT3EFB7o00"/>
          <w:noProof/>
          <w:lang w:eastAsia="ru-RU"/>
        </w:rPr>
        <w:drawing>
          <wp:inline distT="0" distB="0" distL="0" distR="0">
            <wp:extent cx="5505450" cy="8026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1B" w:rsidRDefault="00FE391B" w:rsidP="00FE391B">
      <w:pPr>
        <w:rPr>
          <w:rFonts w:ascii="TT3EFB6o00" w:hAnsi="TT3EFB6o00" w:cs="TT3EFB6o00"/>
        </w:rPr>
      </w:pPr>
    </w:p>
    <w:p w:rsidR="00FE391B" w:rsidRDefault="00FE391B" w:rsidP="00FE391B">
      <w:pPr>
        <w:rPr>
          <w:rFonts w:ascii="TT3EFB6o00" w:hAnsi="TT3EFB6o00" w:cs="TT3EFB6o00"/>
        </w:rPr>
      </w:pPr>
    </w:p>
    <w:p w:rsidR="002A2996" w:rsidRPr="002A2996" w:rsidRDefault="002A2996" w:rsidP="002A2996">
      <w:pPr>
        <w:rPr>
          <w:rFonts w:ascii="Times New Roman" w:hAnsi="Times New Roman" w:cs="Times New Roman"/>
          <w:sz w:val="28"/>
          <w:szCs w:val="28"/>
        </w:rPr>
      </w:pPr>
      <w:r w:rsidRPr="002A2996">
        <w:rPr>
          <w:rFonts w:ascii="Times New Roman" w:hAnsi="Times New Roman" w:cs="Times New Roman"/>
          <w:sz w:val="28"/>
          <w:szCs w:val="28"/>
        </w:rPr>
        <w:t>Таблица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996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996">
        <w:rPr>
          <w:rFonts w:ascii="Times New Roman" w:hAnsi="Times New Roman" w:cs="Times New Roman"/>
          <w:sz w:val="28"/>
          <w:szCs w:val="28"/>
        </w:rPr>
        <w:t xml:space="preserve"> – Начальные коды</w:t>
      </w:r>
      <w:r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FE391B" w:rsidRDefault="00FE391B" w:rsidP="00FE391B">
      <w:pPr>
        <w:rPr>
          <w:rFonts w:eastAsia="TT3EFB7o00" w:cs="TT3EFB7o00"/>
        </w:rPr>
      </w:pPr>
      <w:r>
        <w:rPr>
          <w:rFonts w:eastAsia="TT3EFB7o00" w:cs="TT3EFB7o00"/>
          <w:noProof/>
          <w:lang w:eastAsia="ru-RU"/>
        </w:rPr>
        <w:drawing>
          <wp:inline distT="0" distB="0" distL="0" distR="0">
            <wp:extent cx="5454650" cy="4241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1B" w:rsidRDefault="00FE391B" w:rsidP="00FE391B">
      <w:pPr>
        <w:rPr>
          <w:rFonts w:eastAsia="TT3EFB7o00" w:cs="TT3EFB7o00"/>
        </w:rPr>
      </w:pPr>
      <w:r>
        <w:rPr>
          <w:rFonts w:eastAsia="TT3EFB7o00" w:cs="TT3EFB7o00"/>
          <w:noProof/>
          <w:lang w:eastAsia="ru-RU"/>
        </w:rPr>
        <w:drawing>
          <wp:inline distT="0" distB="0" distL="0" distR="0">
            <wp:extent cx="5943600" cy="18669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1B" w:rsidRDefault="002A2996" w:rsidP="00E41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66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П 6.2. Структура двоично-кодированного факсимильного сообщения (фаза С</w:t>
      </w:r>
      <w:r w:rsidRPr="00D9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завершение текущей страницы факсимильного документа)</w:t>
      </w:r>
    </w:p>
    <w:p w:rsidR="00F746E1" w:rsidRDefault="00F746E1" w:rsidP="00E41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6E1" w:rsidRDefault="00F746E1" w:rsidP="00E415A4">
      <w:pPr>
        <w:autoSpaceDE w:val="0"/>
        <w:autoSpaceDN w:val="0"/>
        <w:adjustRightInd w:val="0"/>
        <w:spacing w:after="0"/>
        <w:ind w:firstLine="709"/>
        <w:jc w:val="both"/>
      </w:pPr>
    </w:p>
    <w:sectPr w:rsidR="00F746E1" w:rsidSect="0009344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C6" w:rsidRDefault="00EA50C6" w:rsidP="0009344C">
      <w:pPr>
        <w:spacing w:after="0" w:line="240" w:lineRule="auto"/>
      </w:pPr>
      <w:r>
        <w:separator/>
      </w:r>
    </w:p>
  </w:endnote>
  <w:endnote w:type="continuationSeparator" w:id="1">
    <w:p w:rsidR="00EA50C6" w:rsidRDefault="00EA50C6" w:rsidP="0009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de2000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T3EFB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EFB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C6" w:rsidRDefault="00EA50C6" w:rsidP="0009344C">
      <w:pPr>
        <w:spacing w:after="0" w:line="240" w:lineRule="auto"/>
      </w:pPr>
      <w:r>
        <w:separator/>
      </w:r>
    </w:p>
  </w:footnote>
  <w:footnote w:type="continuationSeparator" w:id="1">
    <w:p w:rsidR="00EA50C6" w:rsidRDefault="00EA50C6" w:rsidP="0009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070"/>
    </w:sdtPr>
    <w:sdtContent>
      <w:p w:rsidR="0009344C" w:rsidRDefault="00847881">
        <w:pPr>
          <w:pStyle w:val="aa"/>
          <w:jc w:val="center"/>
        </w:pPr>
        <w:r w:rsidRPr="000934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44C" w:rsidRPr="000934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6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34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44C" w:rsidRDefault="000934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B53"/>
    <w:multiLevelType w:val="multilevel"/>
    <w:tmpl w:val="A65478AA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5854C8"/>
    <w:multiLevelType w:val="multilevel"/>
    <w:tmpl w:val="84B20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">
    <w:nsid w:val="72637EDB"/>
    <w:multiLevelType w:val="hybridMultilevel"/>
    <w:tmpl w:val="51E63500"/>
    <w:lvl w:ilvl="0" w:tplc="68701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A4"/>
    <w:rsid w:val="0009344C"/>
    <w:rsid w:val="000A1A2F"/>
    <w:rsid w:val="000A50FA"/>
    <w:rsid w:val="0017559D"/>
    <w:rsid w:val="001968D5"/>
    <w:rsid w:val="00201F68"/>
    <w:rsid w:val="002A2996"/>
    <w:rsid w:val="00554160"/>
    <w:rsid w:val="00562006"/>
    <w:rsid w:val="00597AAE"/>
    <w:rsid w:val="00754C69"/>
    <w:rsid w:val="008255A4"/>
    <w:rsid w:val="00847881"/>
    <w:rsid w:val="00941BA9"/>
    <w:rsid w:val="00AE72B5"/>
    <w:rsid w:val="00B20CD6"/>
    <w:rsid w:val="00D73A0B"/>
    <w:rsid w:val="00E415A4"/>
    <w:rsid w:val="00EA50C6"/>
    <w:rsid w:val="00F746E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4"/>
  </w:style>
  <w:style w:type="paragraph" w:styleId="1">
    <w:name w:val="heading 1"/>
    <w:basedOn w:val="a"/>
    <w:next w:val="a"/>
    <w:link w:val="10"/>
    <w:uiPriority w:val="9"/>
    <w:qFormat/>
    <w:rsid w:val="00093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A0B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25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255A4"/>
    <w:rPr>
      <w:rFonts w:ascii="Consolas" w:hAnsi="Consolas"/>
      <w:sz w:val="21"/>
      <w:szCs w:val="21"/>
    </w:rPr>
  </w:style>
  <w:style w:type="paragraph" w:customStyle="1" w:styleId="Web">
    <w:name w:val="Обычный (Web)"/>
    <w:basedOn w:val="a"/>
    <w:next w:val="a"/>
    <w:uiPriority w:val="99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5A4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09344C"/>
  </w:style>
  <w:style w:type="paragraph" w:styleId="a9">
    <w:name w:val="toa heading"/>
    <w:basedOn w:val="a"/>
    <w:next w:val="a"/>
    <w:rsid w:val="0009344C"/>
    <w:pPr>
      <w:keepNext/>
      <w:keepLines/>
      <w:suppressAutoHyphen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styleId="11">
    <w:name w:val="toc 1"/>
    <w:basedOn w:val="a"/>
    <w:next w:val="a"/>
    <w:rsid w:val="0009344C"/>
    <w:pPr>
      <w:suppressAutoHyphens/>
      <w:spacing w:after="100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44C"/>
  </w:style>
  <w:style w:type="paragraph" w:styleId="ac">
    <w:name w:val="footer"/>
    <w:basedOn w:val="a"/>
    <w:link w:val="ad"/>
    <w:uiPriority w:val="99"/>
    <w:semiHidden/>
    <w:unhideWhenUsed/>
    <w:rsid w:val="0009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344C"/>
  </w:style>
  <w:style w:type="paragraph" w:styleId="ae">
    <w:name w:val="Normal (Web)"/>
    <w:basedOn w:val="a"/>
    <w:uiPriority w:val="99"/>
    <w:semiHidden/>
    <w:unhideWhenUsed/>
    <w:rsid w:val="00F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74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5</cp:revision>
  <cp:lastPrinted>2017-10-27T00:06:00Z</cp:lastPrinted>
  <dcterms:created xsi:type="dcterms:W3CDTF">2013-01-07T06:31:00Z</dcterms:created>
  <dcterms:modified xsi:type="dcterms:W3CDTF">2017-10-27T00:11:00Z</dcterms:modified>
</cp:coreProperties>
</file>