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63" w:rsidRPr="00F62E21" w:rsidRDefault="00F62E21" w:rsidP="00F62E21">
      <w:pPr>
        <w:jc w:val="center"/>
        <w:rPr>
          <w:rFonts w:ascii="Times New Roman" w:hAnsi="Times New Roman" w:cs="Times New Roman"/>
          <w:sz w:val="40"/>
          <w:szCs w:val="40"/>
        </w:rPr>
      </w:pPr>
      <w:r w:rsidRPr="00F62E21">
        <w:rPr>
          <w:rFonts w:ascii="Times New Roman" w:hAnsi="Times New Roman" w:cs="Times New Roman"/>
          <w:sz w:val="40"/>
          <w:szCs w:val="40"/>
        </w:rPr>
        <w:t>2013</w:t>
      </w:r>
    </w:p>
    <w:p w:rsidR="00F62E21" w:rsidRPr="004D0279" w:rsidRDefault="00F62E21" w:rsidP="00F62E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5B3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4D0279" w:rsidRPr="004D027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sz w:val="24"/>
          <w:szCs w:val="24"/>
          <w:lang w:val="en-US"/>
        </w:rPr>
        <w:t>V.V. ALEKSASHINA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NEOINDUSTRIALIZATION OF RUSSIA.</w:t>
      </w:r>
      <w:proofErr w:type="gramEnd"/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HISTORY LESSONS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article historical development of three modernizations (and industrialization) is briefly stated to Russia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at 18-20 eyelids: Peter I reforms, «Great reforms» the end of the XIX century and socialist industrialization in the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USSR. Evolution of deindustrialization of today's Russia is considered, the conclusion is drawn on an absolute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necessityof</w:t>
      </w:r>
      <w:proofErr w:type="spell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new industrialization of the country.</w:t>
      </w:r>
    </w:p>
    <w:p w:rsidR="00B42AAE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industrialization, the modernization, catching-up development, re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forms, industrial construction,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liberalization, privatization, deindustrialization</w:t>
      </w:r>
    </w:p>
    <w:p w:rsidR="004D0279" w:rsidRPr="004D0279" w:rsidRDefault="004D0279" w:rsidP="00B42A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sz w:val="24"/>
          <w:szCs w:val="24"/>
          <w:lang w:val="en-US"/>
        </w:rPr>
        <w:t>E.V. BRUMA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MODELLING THE DYNAMICS OF STRUCTURE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HANDICAPPED GROUP OF THE POPULATION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EXAMPLE OF THE OREL REGION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A mathematical model of the changing age structure of the population of the region.</w:t>
      </w:r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population is considered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as a system consisting of three groups: working age, younger and older than itself. Model is a system of differential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equations with respect to shares of the above three age groups in the general population and the corresponding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initial conditions. The model parameters are the coefficients of fertility, mortality and age-side moves, obtained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by treatment of statistical demographic data in a wide range of time. Adequate description of the model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changes in the age structure was confirmed by comparison with known statistical data on the Orel region over a 14-year span from 2000 to 2013. </w:t>
      </w: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forecast for the next 13 years from 2014 to 2026.</w:t>
      </w:r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Confirmed for the Oryol region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national trends of population aging and reducing the share of working-age population contingent in composition of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population.</w:t>
      </w:r>
      <w:proofErr w:type="gramEnd"/>
    </w:p>
    <w:p w:rsid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027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age groups, working-age population, modeling, system of differential equations, an aging population,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fertility and mortality rates, forecasting.</w:t>
      </w:r>
    </w:p>
    <w:p w:rsid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sz w:val="24"/>
          <w:szCs w:val="24"/>
          <w:lang w:val="en-US"/>
        </w:rPr>
        <w:t>N.Y. SALOVA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RECOMMENDATIONS ON THE ORGANIZATION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IMPROVEMENT OF THE CITY OF BRYANSK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covers problems of landscaping and beautification of urban areas on the example of the city of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Bryansk and proposed the establishment of an electronic map of the city with the application of all existing green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plantings.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gardening and landscaping, city territory, card of greenery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sz w:val="24"/>
          <w:szCs w:val="24"/>
          <w:lang w:val="en-US"/>
        </w:rPr>
        <w:t>V.I. KOROBKO, S.V. BOYARKINA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COMPATIBILITY WITH HUMAN WORKING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AND LIVING CONDITIONS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Considered scientific compatibility problem with the terms of its human labor, welfare and recreation.</w:t>
      </w:r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Results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of the analysis of some parameters of the person ergonomic through law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lotogo</w:t>
      </w:r>
      <w:proofErr w:type="spell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zone section.</w:t>
      </w:r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questions of physical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power human perception of sound and light signals, probabilistic estimates of the operator, as well as some problems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vibrating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tion</w:t>
      </w:r>
      <w:proofErr w:type="spell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human biomechanics.</w:t>
      </w:r>
    </w:p>
    <w:p w:rsid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4D027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working conditions, the golden section, ergonomic parameters of the person, vibration Zion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biomechanics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color w:val="000000"/>
          <w:sz w:val="24"/>
          <w:szCs w:val="24"/>
          <w:lang w:val="en-US"/>
        </w:rPr>
        <w:t>K.N. LAPSHINA, S.G. TULSKAYA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WORKING OUT OF SOFTWARE FOR ANALYSIS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OF THERMAL COMFORT INDOOR THE RESTAURANT COMPLEXES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Tightening requirements to ensure comfort in the premises of restaurant complexes leads to the need for clarification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of existing and development of new methods of analysis and design of systems to ensure climate. In this regard,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the article presented is current and up to modern trends.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This article analyzes to ensure thermal comfort in rooms and restaurant complexes proposed improved method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of calculation. The software is developed for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lastRenderedPageBreak/>
        <w:t>calculating the parameters of microclimate in order to create zones of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thermal comfort in premises of restaurant complexes.</w:t>
      </w:r>
    </w:p>
    <w:p w:rsidR="004D0279" w:rsidRPr="004D0279" w:rsidRDefault="004D0279" w:rsidP="004D02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lang w:val="en-US"/>
        </w:rPr>
        <w:t xml:space="preserve">Keywords: </w:t>
      </w:r>
      <w:r w:rsidRPr="004D0279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thermal comfort, restaurant facilities, software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279">
        <w:rPr>
          <w:rFonts w:ascii="Times New Roman" w:hAnsi="Times New Roman" w:cs="Times New Roman"/>
          <w:sz w:val="24"/>
          <w:szCs w:val="24"/>
          <w:lang w:val="en-US"/>
        </w:rPr>
        <w:t>N.P. UMNYAKOVA, ".S. ANDREIZEV&amp;, V</w:t>
      </w:r>
      <w:proofErr w:type="gramStart"/>
      <w:r w:rsidRPr="004D0279">
        <w:rPr>
          <w:rFonts w:ascii="Times New Roman" w:hAnsi="Times New Roman" w:cs="Times New Roman"/>
          <w:sz w:val="24"/>
          <w:szCs w:val="24"/>
          <w:lang w:val="en-US"/>
        </w:rPr>
        <w:t>.&amp;</w:t>
      </w:r>
      <w:proofErr w:type="gramEnd"/>
      <w:r w:rsidRPr="004D0279">
        <w:rPr>
          <w:rFonts w:ascii="Times New Roman" w:hAnsi="Times New Roman" w:cs="Times New Roman"/>
          <w:sz w:val="24"/>
          <w:szCs w:val="24"/>
          <w:lang w:val="en-US"/>
        </w:rPr>
        <w:t>. SMIRNOV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EFFECTIVE CONSTRUCTION SOLUTION OF THE BUILDING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sz w:val="28"/>
          <w:szCs w:val="28"/>
          <w:lang w:val="en-US"/>
        </w:rPr>
        <w:t>ENVELOPE’S NODE AND BIOSPHERE COMPATIBILITY</w:t>
      </w:r>
    </w:p>
    <w:p w:rsidR="004D0279" w:rsidRPr="004D0279" w:rsidRDefault="004D0279" w:rsidP="004D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A new solution of the wall, monolithic floor and the balcony slab interface is considered. It is a loadbearing</w:t>
      </w:r>
      <w:r w:rsidR="002D6198"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heat insulating element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Schöck</w:t>
      </w:r>
      <w:proofErr w:type="spell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The three-dimensional </w:t>
      </w: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temperature fields were calculated, the specific heat</w:t>
      </w:r>
      <w:r w:rsidR="002D6198"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flow for were</w:t>
      </w:r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obtained in two cases: with use of load-bearing heat-insulating element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Schöck</w:t>
      </w:r>
      <w:proofErr w:type="spell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for traditional solution</w:t>
      </w:r>
      <w:r w:rsidR="002D6198"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this node. The effectiveness in energy saving of using this element in terms of biosphere compatibility is</w:t>
      </w:r>
      <w:r w:rsidR="002D6198"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stated.</w:t>
      </w:r>
    </w:p>
    <w:p w:rsidR="004D0279" w:rsidRPr="004D0279" w:rsidRDefault="004D0279" w:rsidP="002D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7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thermal protection of buildings; heat </w:t>
      </w:r>
      <w:proofErr w:type="spell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loss</w:t>
      </w:r>
      <w:proofErr w:type="gramStart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;the</w:t>
      </w:r>
      <w:proofErr w:type="spellEnd"/>
      <w:proofErr w:type="gramEnd"/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wall, monolithic floor and the balcony slab interface;</w:t>
      </w:r>
      <w:r w:rsidR="002D6198"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D0279">
        <w:rPr>
          <w:rFonts w:ascii="Times New Roman" w:hAnsi="Times New Roman" w:cs="Times New Roman"/>
          <w:i/>
          <w:iCs/>
          <w:sz w:val="20"/>
          <w:szCs w:val="20"/>
          <w:lang w:val="en-US"/>
        </w:rPr>
        <w:t>reduced total thermal resistance, heat flow, load-bearing heat-insulating element, biosphere compatibility</w:t>
      </w:r>
    </w:p>
    <w:p w:rsidR="004D0279" w:rsidRPr="004D0279" w:rsidRDefault="004D0279" w:rsidP="00B42A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sz w:val="24"/>
          <w:szCs w:val="24"/>
          <w:lang w:val="en-US"/>
        </w:rPr>
        <w:t>E.A. FEDORENKO, M.D. AKSENOV, R.O. PETROV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EFFICIENCY OF USE OF WASTE OF THE INDUSTRY FOR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PRODUCTION OF DRY CONSTRUCTION MIXES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BASIS OF THE PLASTER KNITTING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Results of pilot studies of influence of structures of dry plaster mixes on their durability are given. On the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basis of the conducted pilot researches possibility of use of waste of the industry is shown.</w:t>
      </w:r>
    </w:p>
    <w:p w:rsidR="004D0279" w:rsidRPr="002D6198" w:rsidRDefault="002D6198" w:rsidP="002D61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dry construction </w:t>
      </w:r>
      <w:proofErr w:type="gram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mix,</w:t>
      </w:r>
      <w:proofErr w:type="gram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plaster knitting, industry waste, mechanical properties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sz w:val="24"/>
          <w:szCs w:val="24"/>
          <w:lang w:val="en-US"/>
        </w:rPr>
        <w:t>POTAPENKO O.S., MARUSOVA E.I.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PUBLIC-PRIVATE PARTNERSHIP AS A TOOL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THE REFORMING HOUSING AND COMMUNAL SERVICES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CITY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goals and objectives of the research related to the analysis of the existing problems and improve the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compatibility of the biosphere of housing, development of organizational and economic mechanisms to address them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in a public-private partnership.</w:t>
      </w:r>
    </w:p>
    <w:p w:rsidR="004D0279" w:rsidRPr="002D6198" w:rsidRDefault="002D6198" w:rsidP="002D61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public-private partnerships, housing and communal services, the cluster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color w:val="000000"/>
          <w:sz w:val="24"/>
          <w:szCs w:val="24"/>
          <w:lang w:val="en-US"/>
        </w:rPr>
        <w:t>L.A. GULABYANTS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RADON ROLE IN THE SPHERE OF ACTIVITY OF THE PERSON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2D619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The article describes the positive and negative effects of exposure to radon. It is shown that in recent decades</w:t>
      </w:r>
      <w:r w:rsidRPr="002D619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has become an urgent problem of exposure to radon in buildings.</w:t>
      </w:r>
    </w:p>
    <w:p w:rsidR="002D6198" w:rsidRPr="002D6198" w:rsidRDefault="002D6198" w:rsidP="002D61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lang w:val="en-US"/>
        </w:rPr>
        <w:t xml:space="preserve">Keywords: </w:t>
      </w:r>
      <w:r w:rsidRPr="002D6198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habitat, buildings, radon, radon risk, the use of radon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bCs/>
          <w:sz w:val="24"/>
          <w:szCs w:val="24"/>
          <w:lang w:val="en-US"/>
        </w:rPr>
        <w:t>E.G. TSUBLOVA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COMMUNITY BIODESTRUCTORS IN URBAN ECOSYSTEMS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paper presents the results of the study of biological diversity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biodestruktors</w:t>
      </w:r>
      <w:proofErr w:type="spell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some objects housing the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city of Bryansk. </w:t>
      </w:r>
      <w:proofErr w:type="gram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Determined systematic affiliation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biodestruktors</w:t>
      </w:r>
      <w:proofErr w:type="spell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organisms.</w:t>
      </w:r>
      <w:proofErr w:type="gramEnd"/>
    </w:p>
    <w:p w:rsidR="002D6198" w:rsidRPr="002D6198" w:rsidRDefault="002D6198" w:rsidP="002D61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biodamage</w:t>
      </w:r>
      <w:proofErr w:type="spell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biodestructor</w:t>
      </w:r>
      <w:proofErr w:type="spell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residential premises,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microbocenos</w:t>
      </w:r>
      <w:proofErr w:type="spellEnd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mikocenos</w:t>
      </w:r>
      <w:proofErr w:type="spellEnd"/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198">
        <w:rPr>
          <w:rFonts w:ascii="Times New Roman" w:hAnsi="Times New Roman" w:cs="Times New Roman"/>
          <w:sz w:val="24"/>
          <w:szCs w:val="24"/>
          <w:lang w:val="en-US"/>
        </w:rPr>
        <w:t>G.A. PTICHNIKOVA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D6198">
        <w:rPr>
          <w:rFonts w:ascii="Times New Roman" w:hAnsi="Times New Roman" w:cs="Times New Roman"/>
          <w:b/>
          <w:bCs/>
          <w:sz w:val="26"/>
          <w:szCs w:val="26"/>
          <w:lang w:val="en-US"/>
        </w:rPr>
        <w:t>PROBLEMS OF SUSTAINABLE URBAN DEVELOPMENT CONSIDERING THE</w:t>
      </w:r>
      <w:r w:rsidRPr="002D619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2D6198">
        <w:rPr>
          <w:rFonts w:ascii="Times New Roman" w:hAnsi="Times New Roman" w:cs="Times New Roman"/>
          <w:b/>
          <w:bCs/>
          <w:sz w:val="26"/>
          <w:szCs w:val="26"/>
          <w:lang w:val="en-US"/>
        </w:rPr>
        <w:t>NEGATIVE IMPACT OF HYDROPOWER PROJECTS ON BIOSPHERE (CASE</w:t>
      </w:r>
      <w:r w:rsidRPr="002D619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2D6198">
        <w:rPr>
          <w:rFonts w:ascii="Times New Roman" w:hAnsi="Times New Roman" w:cs="Times New Roman"/>
          <w:b/>
          <w:bCs/>
          <w:sz w:val="26"/>
          <w:szCs w:val="26"/>
          <w:lang w:val="en-US"/>
        </w:rPr>
        <w:t>STUDY OF THE LOWER VOLGA REGION)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raises the problem of accounting for the negative impacts of hydropower on biosphere resources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of the region in the development of urban and rural settlements. The author reveals the developed methodological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framework for the assessment of the impact in urban planning documents. Justification of the results carried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out by the example of settlement system and cities of Lower Volga region, The South of Russia.</w:t>
      </w:r>
    </w:p>
    <w:p w:rsidR="002D6198" w:rsidRPr="002D6198" w:rsidRDefault="002D6198" w:rsidP="002D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19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: biosphere, settlement system, cities, villages, natural complex, urban planning, Lower Volga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D6198">
        <w:rPr>
          <w:rFonts w:ascii="Times New Roman" w:hAnsi="Times New Roman" w:cs="Times New Roman"/>
          <w:i/>
          <w:iCs/>
          <w:sz w:val="20"/>
          <w:szCs w:val="20"/>
          <w:lang w:val="en-US"/>
        </w:rPr>
        <w:t>region, waterworks</w:t>
      </w:r>
    </w:p>
    <w:p w:rsidR="002D6198" w:rsidRPr="002D6198" w:rsidRDefault="002D6198" w:rsidP="00B42A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D6198" w:rsidRPr="002D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1"/>
    <w:rsid w:val="002D6198"/>
    <w:rsid w:val="004D0279"/>
    <w:rsid w:val="004D4B63"/>
    <w:rsid w:val="005D004A"/>
    <w:rsid w:val="00A2356F"/>
    <w:rsid w:val="00AB5B3F"/>
    <w:rsid w:val="00B42AAE"/>
    <w:rsid w:val="00EA3AF0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2015-10-26T00:15:00Z</dcterms:created>
  <dcterms:modified xsi:type="dcterms:W3CDTF">2015-10-26T00:15:00Z</dcterms:modified>
</cp:coreProperties>
</file>